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drawings/drawing3.xml" ContentType="application/vnd.openxmlformats-officedocument.drawingml.chartshapes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4.xml" ContentType="application/vnd.openxmlformats-officedocument.themeOverride+xml"/>
  <Override PartName="/word/drawings/drawing5.xml" ContentType="application/vnd.openxmlformats-officedocument.drawingml.chartshapes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5.xml" ContentType="application/vnd.openxmlformats-officedocument.themeOverrid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drawings/drawing8.xml" ContentType="application/vnd.openxmlformats-officedocument.drawingml.chartshapes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6.xml" ContentType="application/vnd.openxmlformats-officedocument.themeOverride+xml"/>
  <Override PartName="/word/drawings/drawing9.xml" ContentType="application/vnd.openxmlformats-officedocument.drawingml.chartshapes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drawings/drawing10.xml" ContentType="application/vnd.openxmlformats-officedocument.drawingml.chartshapes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F8E30" w14:textId="711EA937" w:rsidR="00046060" w:rsidRDefault="00046060">
      <w:pPr>
        <w:pStyle w:val="Sinespaciado"/>
        <w:rPr>
          <w:rFonts w:ascii="Times New Roman" w:eastAsiaTheme="minorEastAsia" w:hAnsi="Times New Roman" w:cs="Times New Roman"/>
          <w:sz w:val="2"/>
          <w:szCs w:val="24"/>
          <w:lang w:val="es-ES_tradnl" w:eastAsia="es-ES"/>
        </w:rPr>
      </w:pPr>
      <w:bookmarkStart w:id="0" w:name="_Hlk49250386"/>
      <w:bookmarkStart w:id="1" w:name="_Toc410402057"/>
      <w:bookmarkStart w:id="2" w:name="_Toc457550818"/>
      <w:bookmarkEnd w:id="0"/>
      <w:r>
        <w:rPr>
          <w:rFonts w:ascii="Times New Roman" w:eastAsiaTheme="minorEastAsia" w:hAnsi="Times New Roman" w:cs="Times New Roman"/>
          <w:sz w:val="2"/>
          <w:szCs w:val="24"/>
          <w:lang w:val="es-ES_tradnl" w:eastAsia="es-ES"/>
        </w:rPr>
        <w:tab/>
      </w:r>
    </w:p>
    <w:sdt>
      <w:sdtPr>
        <w:rPr>
          <w:rFonts w:ascii="Times New Roman" w:eastAsiaTheme="minorEastAsia" w:hAnsi="Times New Roman" w:cs="Times New Roman"/>
          <w:sz w:val="2"/>
          <w:szCs w:val="24"/>
          <w:lang w:val="es-ES_tradnl" w:eastAsia="es-ES"/>
        </w:rPr>
        <w:id w:val="-1951234547"/>
        <w:docPartObj>
          <w:docPartGallery w:val="Cover Pages"/>
          <w:docPartUnique/>
        </w:docPartObj>
      </w:sdtPr>
      <w:sdtEndPr>
        <w:rPr>
          <w:rFonts w:eastAsiaTheme="majorEastAsia"/>
          <w:b/>
          <w:bCs/>
          <w:color w:val="FF0000"/>
          <w:sz w:val="22"/>
          <w:szCs w:val="26"/>
          <w:lang w:val="es-GT"/>
        </w:rPr>
      </w:sdtEndPr>
      <w:sdtContent>
        <w:p w14:paraId="5BB9D6E1" w14:textId="4589C6E1" w:rsidR="00DB22E2" w:rsidRPr="00AC1506" w:rsidRDefault="009A1471">
          <w:pPr>
            <w:pStyle w:val="Sinespaciado"/>
            <w:rPr>
              <w:rFonts w:ascii="Times New Roman" w:hAnsi="Times New Roman" w:cs="Times New Roman"/>
              <w:sz w:val="2"/>
            </w:rPr>
          </w:pPr>
          <w:r w:rsidRPr="00AC1506">
            <w:rPr>
              <w:rFonts w:ascii="Times New Roman" w:hAnsi="Times New Roman" w:cs="Times New Roman"/>
              <w:noProof/>
              <w:lang w:eastAsia="es-GT"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49730031" wp14:editId="046655F8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top</wp:align>
                    </wp:positionV>
                    <wp:extent cx="5943600" cy="2344615"/>
                    <wp:effectExtent l="0" t="0" r="0" b="0"/>
                    <wp:wrapNone/>
                    <wp:docPr id="62" name="Cuadro de texto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23446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eastAsiaTheme="majorEastAsia" w:hAnsi="Times New Roman" w:cs="Times New Roman"/>
                                    <w:caps/>
                                    <w:color w:val="1F497D" w:themeColor="text2"/>
                                    <w:sz w:val="64"/>
                                    <w:szCs w:val="64"/>
                                  </w:rPr>
                                  <w:alias w:val="Título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>
                                  <w:rPr>
                                    <w:sz w:val="68"/>
                                    <w:szCs w:val="68"/>
                                  </w:rPr>
                                </w:sdtEndPr>
                                <w:sdtContent>
                                  <w:p w14:paraId="335CAA98" w14:textId="78F041A5" w:rsidR="000A5B5B" w:rsidRPr="00445193" w:rsidRDefault="000A5B5B">
                                    <w:pPr>
                                      <w:pStyle w:val="Sinespaciado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1F497D" w:themeColor="text2"/>
                                        <w:sz w:val="68"/>
                                        <w:szCs w:val="68"/>
                                      </w:rPr>
                                    </w:pPr>
                                    <w:r w:rsidRPr="00BF230D">
                                      <w:rPr>
                                        <w:rFonts w:ascii="Times New Roman" w:eastAsiaTheme="majorEastAsia" w:hAnsi="Times New Roman" w:cs="Times New Roman"/>
                                        <w:caps/>
                                        <w:color w:val="1F497D" w:themeColor="text2"/>
                                        <w:sz w:val="64"/>
                                        <w:szCs w:val="64"/>
                                      </w:rPr>
                                      <w:t>Informe de las Finanz</w:t>
                                    </w:r>
                                    <w:r>
                                      <w:rPr>
                                        <w:rFonts w:ascii="Times New Roman" w:eastAsiaTheme="majorEastAsia" w:hAnsi="Times New Roman" w:cs="Times New Roman"/>
                                        <w:caps/>
                                        <w:color w:val="1F497D" w:themeColor="text2"/>
                                        <w:sz w:val="64"/>
                                        <w:szCs w:val="64"/>
                                      </w:rPr>
                                      <w:t>A</w:t>
                                    </w:r>
                                    <w:r w:rsidRPr="00BF230D">
                                      <w:rPr>
                                        <w:rFonts w:ascii="Times New Roman" w:eastAsiaTheme="majorEastAsia" w:hAnsi="Times New Roman" w:cs="Times New Roman"/>
                                        <w:caps/>
                                        <w:color w:val="1F497D" w:themeColor="text2"/>
                                        <w:sz w:val="64"/>
                                        <w:szCs w:val="64"/>
                                      </w:rPr>
                                      <w:t>s públicas</w:t>
                                    </w:r>
                                  </w:p>
                                </w:sdtContent>
                              </w:sdt>
                              <w:p w14:paraId="050956C6" w14:textId="4E154037" w:rsidR="000A5B5B" w:rsidRPr="00BF230D" w:rsidRDefault="00DC7D84">
                                <w:pPr>
                                  <w:pStyle w:val="Sinespaciado"/>
                                  <w:spacing w:before="120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4F81BD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4F81BD" w:themeColor="accent1"/>
                                      <w:sz w:val="36"/>
                                      <w:szCs w:val="36"/>
                                    </w:rPr>
                                    <w:alias w:val="Subtítulo"/>
                                    <w:tag w:val=""/>
                                    <w:id w:val="202174300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2C33C1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>Tercer</w:t>
                                    </w:r>
                                    <w:r w:rsidR="000A5B5B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 xml:space="preserve"> Trimestre</w:t>
                                    </w:r>
                                  </w:sdtContent>
                                </w:sdt>
                                <w:r w:rsidR="000A5B5B" w:rsidRPr="00BF230D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4F81BD" w:themeColor="accent1"/>
                                    <w:sz w:val="36"/>
                                    <w:szCs w:val="36"/>
                                  </w:rPr>
                                  <w:t xml:space="preserve"> 202</w:t>
                                </w:r>
                                <w:r w:rsidR="000A5B5B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4F81BD" w:themeColor="accent1"/>
                                    <w:sz w:val="36"/>
                                    <w:szCs w:val="36"/>
                                  </w:rPr>
                                  <w:t>1</w:t>
                                </w:r>
                                <w:r w:rsidR="000A5B5B" w:rsidRPr="00BF230D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lang w:val="es-ES"/>
                                  </w:rPr>
                                  <w:t xml:space="preserve"> </w:t>
                                </w:r>
                              </w:p>
                              <w:p w14:paraId="52529D54" w14:textId="77777777" w:rsidR="000A5B5B" w:rsidRDefault="000A5B5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9730031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62" o:spid="_x0000_s1026" type="#_x0000_t202" style="position:absolute;margin-left:0;margin-top:0;width:468pt;height:184.6pt;z-index:251658242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top;mso-position-vertical-relative:margin;mso-width-percent:765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" filled="f" stroked="f" strokeweight=".5pt">
                    <v:textbox>
                      <w:txbxContent>
                        <w:sdt>
                          <w:sdtPr>
                            <w:rPr>
                              <w:rFonts w:ascii="Times New Roman" w:eastAsiaTheme="majorEastAsia" w:hAnsi="Times New Roman" w:cs="Times New Roman"/>
                              <w:caps/>
                              <w:color w:val="1F497D" w:themeColor="text2"/>
                              <w:sz w:val="64"/>
                              <w:szCs w:val="64"/>
                            </w:rPr>
                            <w:alias w:val="Título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sz w:val="68"/>
                              <w:szCs w:val="68"/>
                            </w:rPr>
                          </w:sdtEndPr>
                          <w:sdtContent>
                            <w:p w14:paraId="335CAA98" w14:textId="78F041A5" w:rsidR="000A5B5B" w:rsidRPr="00445193" w:rsidRDefault="000A5B5B">
                              <w:pPr>
                                <w:pStyle w:val="Sinespaciado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1F497D" w:themeColor="text2"/>
                                  <w:sz w:val="68"/>
                                  <w:szCs w:val="68"/>
                                </w:rPr>
                              </w:pPr>
                              <w:r w:rsidRPr="00BF230D">
                                <w:rPr>
                                  <w:rFonts w:ascii="Times New Roman" w:eastAsiaTheme="majorEastAsia" w:hAnsi="Times New Roman" w:cs="Times New Roman"/>
                                  <w:caps/>
                                  <w:color w:val="1F497D" w:themeColor="text2"/>
                                  <w:sz w:val="64"/>
                                  <w:szCs w:val="64"/>
                                </w:rPr>
                                <w:t>Informe de las Finanz</w:t>
                              </w:r>
                              <w:r>
                                <w:rPr>
                                  <w:rFonts w:ascii="Times New Roman" w:eastAsiaTheme="majorEastAsia" w:hAnsi="Times New Roman" w:cs="Times New Roman"/>
                                  <w:caps/>
                                  <w:color w:val="1F497D" w:themeColor="text2"/>
                                  <w:sz w:val="64"/>
                                  <w:szCs w:val="64"/>
                                </w:rPr>
                                <w:t>A</w:t>
                              </w:r>
                              <w:r w:rsidRPr="00BF230D">
                                <w:rPr>
                                  <w:rFonts w:ascii="Times New Roman" w:eastAsiaTheme="majorEastAsia" w:hAnsi="Times New Roman" w:cs="Times New Roman"/>
                                  <w:caps/>
                                  <w:color w:val="1F497D" w:themeColor="text2"/>
                                  <w:sz w:val="64"/>
                                  <w:szCs w:val="64"/>
                                </w:rPr>
                                <w:t>s públicas</w:t>
                              </w:r>
                            </w:p>
                          </w:sdtContent>
                        </w:sdt>
                        <w:p w14:paraId="050956C6" w14:textId="4E154037" w:rsidR="000A5B5B" w:rsidRPr="00BF230D" w:rsidRDefault="00DC7D84">
                          <w:pPr>
                            <w:pStyle w:val="Sinespaciado"/>
                            <w:spacing w:before="120"/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4F81BD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</w:rPr>
                              <w:alias w:val="Subtítulo"/>
                              <w:tag w:val=""/>
                              <w:id w:val="202174300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2C33C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4F81BD" w:themeColor="accent1"/>
                                  <w:sz w:val="36"/>
                                  <w:szCs w:val="36"/>
                                </w:rPr>
                                <w:t>Tercer</w:t>
                              </w:r>
                              <w:r w:rsidR="000A5B5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4F81BD" w:themeColor="accent1"/>
                                  <w:sz w:val="36"/>
                                  <w:szCs w:val="36"/>
                                </w:rPr>
                                <w:t xml:space="preserve"> Trimestre</w:t>
                              </w:r>
                            </w:sdtContent>
                          </w:sdt>
                          <w:r w:rsidR="000A5B5B" w:rsidRPr="00BF230D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4F81BD" w:themeColor="accent1"/>
                              <w:sz w:val="36"/>
                              <w:szCs w:val="36"/>
                            </w:rPr>
                            <w:t xml:space="preserve"> 202</w:t>
                          </w:r>
                          <w:r w:rsidR="000A5B5B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4F81BD" w:themeColor="accent1"/>
                              <w:sz w:val="36"/>
                              <w:szCs w:val="36"/>
                            </w:rPr>
                            <w:t>1</w:t>
                          </w:r>
                          <w:r w:rsidR="000A5B5B" w:rsidRPr="00BF230D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lang w:val="es-ES"/>
                            </w:rPr>
                            <w:t xml:space="preserve"> </w:t>
                          </w:r>
                        </w:p>
                        <w:p w14:paraId="52529D54" w14:textId="77777777" w:rsidR="000A5B5B" w:rsidRDefault="000A5B5B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14:paraId="03756366" w14:textId="2E3848D9" w:rsidR="00DB22E2" w:rsidRPr="00AC1506" w:rsidRDefault="00DB22E2" w:rsidP="00CD34D6">
          <w:pPr>
            <w:rPr>
              <w:rFonts w:cs="Times New Roman"/>
            </w:rPr>
          </w:pPr>
          <w:r w:rsidRPr="00AC1506">
            <w:rPr>
              <w:rFonts w:cs="Times New Roman"/>
              <w:noProof/>
              <w:color w:val="4F81BD" w:themeColor="accent1"/>
              <w:sz w:val="36"/>
              <w:szCs w:val="36"/>
              <w:lang w:eastAsia="es-GT"/>
            </w:rPr>
            <mc:AlternateContent>
              <mc:Choice Requires="wpg">
                <w:drawing>
                  <wp:anchor distT="0" distB="0" distL="114300" distR="114300" simplePos="0" relativeHeight="251658241" behindDoc="1" locked="0" layoutInCell="1" allowOverlap="1" wp14:anchorId="05D5122E" wp14:editId="5A272F86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1709420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63" name="Grupo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Forma libre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Forma libre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Forma libre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Forma libre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Forma libre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1F8B3FA3" id="Grupo 2" o:spid="_x0000_s1026" style="position:absolute;margin-left:0;margin-top:0;width:432.65pt;height:448.55pt;z-index:-251658239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">
                    <o:lock v:ext="edit" aspectratio="t"/>
                    <v:shape id="Forma libre 64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Forma libre 65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Forma libre 66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Forma libre 67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Forma libre 68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Pn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s/BJ/&#10;gNx9AQAA//8DAFBLAQItABQABgAIAAAAIQDb4fbL7gAAAIUBAAATAAAAAAAAAAAAAAAAAAAAAABb&#10;Q29udGVudF9UeXBlc10ueG1sUEsBAi0AFAAGAAgAAAAhAFr0LFu/AAAAFQEAAAsAAAAAAAAAAAAA&#10;AAAAHwEAAF9yZWxzLy5yZWxzUEsBAi0AFAAGAAgAAAAhAFH9Q+e7AAAA2wAAAA8AAAAAAAAAAAAA&#10;AAAABwIAAGRycy9kb3ducmV2LnhtbFBLBQYAAAAAAwADALcAAADvAg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  <w:r w:rsidRPr="00AC1506">
            <w:rPr>
              <w:rFonts w:cs="Times New Roman"/>
              <w:noProof/>
              <w:lang w:eastAsia="es-GT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C570617" wp14:editId="2191751A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74904"/>
                    <wp:effectExtent l="0" t="0" r="0" b="2540"/>
                    <wp:wrapNone/>
                    <wp:docPr id="69" name="Cuadro de texto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3981A5" w14:textId="47703BAC" w:rsidR="000A5B5B" w:rsidRPr="00BF230D" w:rsidRDefault="00DC7D84">
                                <w:pPr>
                                  <w:pStyle w:val="Sinespaciado"/>
                                  <w:jc w:val="right"/>
                                  <w:rPr>
                                    <w:rFonts w:ascii="Times New Roman" w:hAnsi="Times New Roman" w:cs="Times New Roman"/>
                                    <w:color w:val="4F81BD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olor w:val="4F81BD" w:themeColor="accent1"/>
                                      <w:sz w:val="36"/>
                                      <w:szCs w:val="36"/>
                                    </w:rPr>
                                    <w:alias w:val="Escolar"/>
                                    <w:tag w:val="Escolar"/>
                                    <w:id w:val="1850680582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0A5B5B" w:rsidRPr="00BF230D">
                                      <w:rPr>
                                        <w:rFonts w:ascii="Times New Roman" w:hAnsi="Times New Roman" w:cs="Times New Roman"/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>Dirección de Análisis y Política Fiscal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olor w:val="4F81BD" w:themeColor="accent1"/>
                                    <w:sz w:val="36"/>
                                    <w:szCs w:val="36"/>
                                  </w:rPr>
                                  <w:alias w:val="Curso"/>
                                  <w:tag w:val="Curso"/>
                                  <w:id w:val="1717703537"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62F3E6E" w14:textId="1330AD25" w:rsidR="000A5B5B" w:rsidRPr="00BF230D" w:rsidRDefault="000A5B5B">
                                    <w:pPr>
                                      <w:pStyle w:val="Sinespaciado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</w:pPr>
                                    <w:r w:rsidRPr="00BF230D">
                                      <w:rPr>
                                        <w:rFonts w:ascii="Times New Roman" w:hAnsi="Times New Roman" w:cs="Times New Roman"/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>Ministerio de Finanzas Públicas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C570617" id="Cuadro de texto 69" o:spid="_x0000_s1027" type="#_x0000_t202" style="position:absolute;left:0;text-align:left;margin-left:0;margin-top:0;width:468pt;height:29.5pt;z-index:251658240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" filled="f" stroked="f" strokeweight=".5pt">
                    <v:textbox style="mso-fit-shape-to-text:t" inset="0,0,0,0">
                      <w:txbxContent>
                        <w:p w14:paraId="013981A5" w14:textId="47703BAC" w:rsidR="000A5B5B" w:rsidRPr="00BF230D" w:rsidRDefault="00DC7D84">
                          <w:pPr>
                            <w:pStyle w:val="Sinespaciado"/>
                            <w:jc w:val="right"/>
                            <w:rPr>
                              <w:rFonts w:ascii="Times New Roman" w:hAnsi="Times New Roman" w:cs="Times New Roman"/>
                              <w:color w:val="4F81BD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36"/>
                                <w:szCs w:val="36"/>
                              </w:rPr>
                              <w:alias w:val="Escolar"/>
                              <w:tag w:val="Escolar"/>
                              <w:id w:val="1850680582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0A5B5B" w:rsidRPr="00BF230D">
                                <w:rPr>
                                  <w:rFonts w:ascii="Times New Roman" w:hAnsi="Times New Roman" w:cs="Times New Roman"/>
                                  <w:color w:val="4F81BD" w:themeColor="accent1"/>
                                  <w:sz w:val="36"/>
                                  <w:szCs w:val="36"/>
                                </w:rPr>
                                <w:t>Dirección de Análisis y Política Fiscal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Times New Roman" w:hAnsi="Times New Roman" w:cs="Times New Roman"/>
                              <w:color w:val="4F81BD" w:themeColor="accent1"/>
                              <w:sz w:val="36"/>
                              <w:szCs w:val="36"/>
                            </w:rPr>
                            <w:alias w:val="Curso"/>
                            <w:tag w:val="Curso"/>
                            <w:id w:val="1717703537"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EndPr/>
                          <w:sdtContent>
                            <w:p w14:paraId="162F3E6E" w14:textId="1330AD25" w:rsidR="000A5B5B" w:rsidRPr="00BF230D" w:rsidRDefault="000A5B5B">
                              <w:pPr>
                                <w:pStyle w:val="Sinespaciado"/>
                                <w:jc w:val="right"/>
                                <w:rPr>
                                  <w:rFonts w:ascii="Times New Roman" w:hAnsi="Times New Roman" w:cs="Times New Roman"/>
                                  <w:color w:val="4F81BD" w:themeColor="accent1"/>
                                  <w:sz w:val="36"/>
                                  <w:szCs w:val="36"/>
                                </w:rPr>
                              </w:pPr>
                              <w:r w:rsidRPr="00BF230D">
                                <w:rPr>
                                  <w:rFonts w:ascii="Times New Roman" w:hAnsi="Times New Roman" w:cs="Times New Roman"/>
                                  <w:color w:val="4F81BD" w:themeColor="accent1"/>
                                  <w:sz w:val="36"/>
                                  <w:szCs w:val="36"/>
                                </w:rPr>
                                <w:t>Ministerio de Finanzas Públicas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14:paraId="583944DB" w14:textId="4FB7B066" w:rsidR="00DB22E2" w:rsidRPr="00AC1506" w:rsidRDefault="009A1471" w:rsidP="00CD34D6">
          <w:pPr>
            <w:spacing w:after="200" w:line="276" w:lineRule="auto"/>
            <w:rPr>
              <w:rFonts w:eastAsiaTheme="majorEastAsia" w:cs="Times New Roman"/>
              <w:b/>
              <w:bCs/>
              <w:color w:val="FF0000"/>
              <w:szCs w:val="26"/>
            </w:rPr>
          </w:pPr>
          <w:r w:rsidRPr="00AC1506">
            <w:rPr>
              <w:rFonts w:eastAsiaTheme="majorEastAsia" w:cs="Times New Roman"/>
              <w:b/>
              <w:bCs/>
              <w:noProof/>
              <w:color w:val="FF0000"/>
              <w:szCs w:val="26"/>
              <w:lang w:eastAsia="es-GT"/>
            </w:rPr>
            <w:drawing>
              <wp:anchor distT="0" distB="0" distL="114300" distR="114300" simplePos="0" relativeHeight="251658243" behindDoc="1" locked="0" layoutInCell="1" allowOverlap="1" wp14:anchorId="405DD89E" wp14:editId="26DDC1D9">
                <wp:simplePos x="0" y="0"/>
                <wp:positionH relativeFrom="margin">
                  <wp:posOffset>1464799</wp:posOffset>
                </wp:positionH>
                <wp:positionV relativeFrom="paragraph">
                  <wp:posOffset>2640917</wp:posOffset>
                </wp:positionV>
                <wp:extent cx="2736653" cy="1242647"/>
                <wp:effectExtent l="0" t="0" r="6985" b="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36653" cy="12426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B22E2" w:rsidRPr="00AC1506">
            <w:rPr>
              <w:rFonts w:eastAsiaTheme="majorEastAsia" w:cs="Times New Roman"/>
              <w:b/>
              <w:bCs/>
              <w:color w:val="FF0000"/>
              <w:szCs w:val="26"/>
            </w:rPr>
            <w:br w:type="page"/>
          </w:r>
        </w:p>
      </w:sdtContent>
    </w:sdt>
    <w:sdt>
      <w:sdtPr>
        <w:rPr>
          <w:rFonts w:ascii="Times New Roman" w:eastAsiaTheme="minorEastAsia" w:hAnsi="Times New Roman" w:cs="Times New Roman"/>
          <w:b w:val="0"/>
          <w:bCs w:val="0"/>
          <w:color w:val="FF0000"/>
          <w:sz w:val="24"/>
          <w:szCs w:val="24"/>
          <w:lang w:val="es-ES" w:eastAsia="es-ES"/>
        </w:rPr>
        <w:id w:val="-1412613934"/>
        <w:docPartObj>
          <w:docPartGallery w:val="Table of Contents"/>
          <w:docPartUnique/>
        </w:docPartObj>
      </w:sdtPr>
      <w:sdtEndPr>
        <w:rPr>
          <w:sz w:val="22"/>
        </w:rPr>
      </w:sdtEndPr>
      <w:sdtContent>
        <w:p w14:paraId="12B0682B" w14:textId="77777777" w:rsidR="0032588B" w:rsidRPr="00AC1506" w:rsidRDefault="0032588B" w:rsidP="000D58D6">
          <w:pPr>
            <w:pStyle w:val="TtuloTDC"/>
            <w:jc w:val="center"/>
            <w:rPr>
              <w:rFonts w:ascii="Times New Roman" w:hAnsi="Times New Roman" w:cs="Times New Roman"/>
              <w:color w:val="auto"/>
              <w:sz w:val="24"/>
              <w:szCs w:val="24"/>
              <w:lang w:val="es-ES"/>
            </w:rPr>
          </w:pPr>
          <w:r w:rsidRPr="00AC1506">
            <w:rPr>
              <w:rFonts w:ascii="Times New Roman" w:hAnsi="Times New Roman" w:cs="Times New Roman"/>
              <w:color w:val="auto"/>
              <w:sz w:val="24"/>
              <w:szCs w:val="24"/>
              <w:lang w:val="es-ES"/>
            </w:rPr>
            <w:t>Contenido</w:t>
          </w:r>
        </w:p>
        <w:p w14:paraId="1498E71B" w14:textId="77777777" w:rsidR="00F3006C" w:rsidRPr="00AC1506" w:rsidRDefault="00F3006C" w:rsidP="00CD34D6">
          <w:pPr>
            <w:spacing w:line="276" w:lineRule="auto"/>
            <w:rPr>
              <w:rFonts w:cs="Times New Roman"/>
              <w:color w:val="FF0000"/>
              <w:lang w:val="es-ES" w:eastAsia="es-GT"/>
            </w:rPr>
          </w:pPr>
        </w:p>
        <w:p w14:paraId="0DC255CC" w14:textId="4943EC3F" w:rsidR="0047471E" w:rsidRDefault="0032588B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s-GT"/>
            </w:rPr>
          </w:pPr>
          <w:r w:rsidRPr="00AC1506">
            <w:rPr>
              <w:color w:val="FF0000"/>
              <w:lang w:val="es-ES_tradnl"/>
            </w:rPr>
            <w:fldChar w:fldCharType="begin"/>
          </w:r>
          <w:r w:rsidRPr="00AC1506">
            <w:rPr>
              <w:color w:val="FF0000"/>
            </w:rPr>
            <w:instrText xml:space="preserve"> TOC \o "1-3" \h \z \u </w:instrText>
          </w:r>
          <w:r w:rsidRPr="00AC1506">
            <w:rPr>
              <w:color w:val="FF0000"/>
              <w:lang w:val="es-ES_tradnl"/>
            </w:rPr>
            <w:fldChar w:fldCharType="separate"/>
          </w:r>
          <w:hyperlink w:anchor="_Toc86405393" w:history="1">
            <w:r w:rsidR="0047471E" w:rsidRPr="00FC0786">
              <w:rPr>
                <w:rStyle w:val="Hipervnculo"/>
                <w:lang w:val="es-ES_tradnl"/>
              </w:rPr>
              <w:t>Introducción</w:t>
            </w:r>
            <w:r w:rsidR="0047471E">
              <w:rPr>
                <w:webHidden/>
              </w:rPr>
              <w:tab/>
            </w:r>
            <w:r w:rsidR="0047471E">
              <w:rPr>
                <w:webHidden/>
              </w:rPr>
              <w:fldChar w:fldCharType="begin"/>
            </w:r>
            <w:r w:rsidR="0047471E">
              <w:rPr>
                <w:webHidden/>
              </w:rPr>
              <w:instrText xml:space="preserve"> PAGEREF _Toc86405393 \h </w:instrText>
            </w:r>
            <w:r w:rsidR="0047471E">
              <w:rPr>
                <w:webHidden/>
              </w:rPr>
            </w:r>
            <w:r w:rsidR="0047471E">
              <w:rPr>
                <w:webHidden/>
              </w:rPr>
              <w:fldChar w:fldCharType="separate"/>
            </w:r>
            <w:r w:rsidR="00A21CA6">
              <w:rPr>
                <w:webHidden/>
              </w:rPr>
              <w:t>2</w:t>
            </w:r>
            <w:r w:rsidR="0047471E">
              <w:rPr>
                <w:webHidden/>
              </w:rPr>
              <w:fldChar w:fldCharType="end"/>
            </w:r>
          </w:hyperlink>
        </w:p>
        <w:p w14:paraId="73623AD0" w14:textId="4E59B807" w:rsidR="0047471E" w:rsidRDefault="0047471E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s-GT"/>
            </w:rPr>
          </w:pPr>
          <w:hyperlink w:anchor="_Toc86405394" w:history="1">
            <w:r w:rsidRPr="00FC0786">
              <w:rPr>
                <w:rStyle w:val="Hipervnculo"/>
                <w:lang w:val="es-ES_tradnl"/>
              </w:rPr>
              <w:t>Cambios Metodológicos 2021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_Toc86405394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CA6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1A773740" w14:textId="072E3771" w:rsidR="0047471E" w:rsidRDefault="0047471E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s-GT"/>
            </w:rPr>
          </w:pPr>
          <w:hyperlink w:anchor="_Toc86405395" w:history="1">
            <w:r w:rsidRPr="00FC0786">
              <w:rPr>
                <w:rStyle w:val="Hipervnculo"/>
                <w:lang w:val="es-ES_tradnl"/>
              </w:rPr>
              <w:t>I.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s-GT"/>
              </w:rPr>
              <w:tab/>
            </w:r>
            <w:r w:rsidRPr="00FC0786">
              <w:rPr>
                <w:rStyle w:val="Hipervnculo"/>
                <w:lang w:val="es-ES_tradnl"/>
              </w:rPr>
              <w:t>Ingresos del Gobierno Central Presupuestario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_Toc86405395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CA6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6A8F4520" w14:textId="28395A2C" w:rsidR="0047471E" w:rsidRDefault="0047471E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86405396" w:history="1">
            <w:r w:rsidRPr="00FC0786">
              <w:rPr>
                <w:rStyle w:val="Hipervnculo"/>
                <w:rFonts w:cs="Times New Roman"/>
                <w:noProof/>
              </w:rPr>
              <w:t>1.1</w:t>
            </w:r>
            <w:r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Pr="00FC0786">
              <w:rPr>
                <w:rStyle w:val="Hipervnculo"/>
                <w:rFonts w:cs="Times New Roman"/>
                <w:noProof/>
              </w:rPr>
              <w:t>Los ingresos totales continúan mostrando un crecimiento importante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_Toc86405396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21CA6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5BC348" w14:textId="615A826D" w:rsidR="0047471E" w:rsidRDefault="0047471E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86405397" w:history="1">
            <w:r w:rsidRPr="00FC0786">
              <w:rPr>
                <w:rStyle w:val="Hipervnculo"/>
                <w:rFonts w:cs="Times New Roman"/>
                <w:noProof/>
              </w:rPr>
              <w:t>1.2</w:t>
            </w:r>
            <w:r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Pr="00FC0786">
              <w:rPr>
                <w:rStyle w:val="Hipervnculo"/>
                <w:rFonts w:cs="Times New Roman"/>
                <w:noProof/>
              </w:rPr>
              <w:t>Los impuestos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_Toc86405397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21CA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5F4EC9" w14:textId="0A319A10" w:rsidR="0047471E" w:rsidRDefault="0047471E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s-GT"/>
            </w:rPr>
          </w:pPr>
          <w:hyperlink w:anchor="_Toc86405401" w:history="1">
            <w:r w:rsidRPr="00FC0786">
              <w:rPr>
                <w:rStyle w:val="Hipervnculo"/>
                <w:lang w:val="es-ES_tradnl"/>
              </w:rPr>
              <w:t>II.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s-GT"/>
              </w:rPr>
              <w:tab/>
            </w:r>
            <w:r w:rsidRPr="00FC0786">
              <w:rPr>
                <w:rStyle w:val="Hipervnculo"/>
                <w:lang w:val="es-ES_tradnl"/>
              </w:rPr>
              <w:t>Gasto Público del Gobierno Central Presupuestario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_Toc86405401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CA6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F5E669C" w14:textId="3089A31A" w:rsidR="0047471E" w:rsidRDefault="0047471E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86405404" w:history="1">
            <w:r w:rsidRPr="00FC0786">
              <w:rPr>
                <w:rStyle w:val="Hipervnculo"/>
                <w:rFonts w:cs="Times New Roman"/>
                <w:noProof/>
              </w:rPr>
              <w:t>2.1</w:t>
            </w:r>
            <w:r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Pr="00FC0786">
              <w:rPr>
                <w:rStyle w:val="Hipervnculo"/>
                <w:rFonts w:cs="Times New Roman"/>
                <w:noProof/>
              </w:rPr>
              <w:t>Ejecución de gasto público empieza a contraerse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_Toc86405404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21CA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93569A" w14:textId="422E88DB" w:rsidR="0047471E" w:rsidRDefault="0047471E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s-GT"/>
            </w:rPr>
          </w:pPr>
          <w:hyperlink w:anchor="_Toc86405405" w:history="1">
            <w:r w:rsidRPr="00FC0786">
              <w:rPr>
                <w:rStyle w:val="Hipervnculo"/>
                <w:lang w:val="es-MX"/>
              </w:rPr>
              <w:t>III.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s-GT"/>
              </w:rPr>
              <w:tab/>
            </w:r>
            <w:r w:rsidRPr="00FC0786">
              <w:rPr>
                <w:rStyle w:val="Hipervnculo"/>
                <w:lang w:val="es-MX"/>
              </w:rPr>
              <w:t>Transacciones en Activos No Financieros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_Toc86405405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CA6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166E0307" w14:textId="0C171572" w:rsidR="0047471E" w:rsidRDefault="0047471E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86405407" w:history="1">
            <w:r w:rsidRPr="00FC0786">
              <w:rPr>
                <w:rStyle w:val="Hipervnculo"/>
                <w:rFonts w:cs="Times New Roman"/>
                <w:noProof/>
              </w:rPr>
              <w:t>3.1</w:t>
            </w:r>
            <w:r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Pr="00FC0786">
              <w:rPr>
                <w:rStyle w:val="Hipervnculo"/>
                <w:rFonts w:cs="Times New Roman"/>
                <w:noProof/>
              </w:rPr>
              <w:t>Aumenta la inversión en activos no financieros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_Toc86405407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21CA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76D60C" w14:textId="13120FDC" w:rsidR="0047471E" w:rsidRDefault="0047471E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s-GT"/>
            </w:rPr>
          </w:pPr>
          <w:hyperlink w:anchor="_Toc86405408" w:history="1">
            <w:r w:rsidRPr="00FC0786">
              <w:rPr>
                <w:rStyle w:val="Hipervnculo"/>
                <w:lang w:val="es-MX"/>
              </w:rPr>
              <w:t>IV.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s-GT"/>
              </w:rPr>
              <w:tab/>
            </w:r>
            <w:r w:rsidRPr="00FC0786">
              <w:rPr>
                <w:rStyle w:val="Hipervnculo"/>
                <w:lang w:val="es-MX"/>
              </w:rPr>
              <w:t>Financiamiento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_Toc86405408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CA6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AFE4E2C" w14:textId="40D7866B" w:rsidR="0047471E" w:rsidRDefault="0047471E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86405410" w:history="1">
            <w:r w:rsidRPr="00FC0786">
              <w:rPr>
                <w:rStyle w:val="Hipervnculo"/>
                <w:rFonts w:cs="Times New Roman"/>
                <w:noProof/>
              </w:rPr>
              <w:t>4.1</w:t>
            </w:r>
            <w:r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Pr="00FC0786">
              <w:rPr>
                <w:rStyle w:val="Hipervnculo"/>
                <w:rFonts w:cs="Times New Roman"/>
                <w:noProof/>
              </w:rPr>
              <w:t>Disponibilidad de activos financieros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_Toc86405410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21CA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09B038" w14:textId="3DB4BAAC" w:rsidR="0047471E" w:rsidRDefault="0047471E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86405411" w:history="1">
            <w:r w:rsidRPr="00FC0786">
              <w:rPr>
                <w:rStyle w:val="Hipervnculo"/>
                <w:rFonts w:cs="Times New Roman"/>
                <w:noProof/>
              </w:rPr>
              <w:t>4.2</w:t>
            </w:r>
            <w:r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Pr="00FC0786">
              <w:rPr>
                <w:rStyle w:val="Hipervnculo"/>
                <w:rFonts w:cs="Times New Roman"/>
                <w:noProof/>
              </w:rPr>
              <w:t>Uso de pasivos como fuente de financiamiento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_Toc86405411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21CA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BA440F" w14:textId="5836818D" w:rsidR="0047471E" w:rsidRDefault="0047471E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s-GT"/>
            </w:rPr>
          </w:pPr>
          <w:hyperlink w:anchor="_Toc86405412" w:history="1">
            <w:r w:rsidRPr="00FC0786">
              <w:rPr>
                <w:rStyle w:val="Hipervnculo"/>
                <w:lang w:val="es-ES_tradnl"/>
              </w:rPr>
              <w:t>V.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s-GT"/>
              </w:rPr>
              <w:tab/>
            </w:r>
            <w:r w:rsidRPr="00FC0786">
              <w:rPr>
                <w:rStyle w:val="Hipervnculo"/>
                <w:lang w:val="es-ES_tradnl"/>
              </w:rPr>
              <w:t>Erogaciones del Gobierno Central Presupuestario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_Toc86405412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CA6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7BD1ECFB" w14:textId="40E56D28" w:rsidR="0047471E" w:rsidRDefault="0047471E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86405419" w:history="1">
            <w:r w:rsidRPr="00FC0786">
              <w:rPr>
                <w:rStyle w:val="Hipervnculo"/>
                <w:rFonts w:cs="Times New Roman"/>
                <w:noProof/>
              </w:rPr>
              <w:t>5.1</w:t>
            </w:r>
            <w:r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Pr="00FC0786">
              <w:rPr>
                <w:rStyle w:val="Hipervnculo"/>
                <w:rFonts w:cs="Times New Roman"/>
                <w:noProof/>
              </w:rPr>
              <w:t>Erogaciones por Función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_Toc86405419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21CA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7D4ADA" w14:textId="65EF978F" w:rsidR="0047471E" w:rsidRDefault="0047471E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86405420" w:history="1">
            <w:r w:rsidRPr="00FC0786">
              <w:rPr>
                <w:rStyle w:val="Hipervnculo"/>
                <w:rFonts w:cs="Times New Roman"/>
                <w:noProof/>
              </w:rPr>
              <w:t>5.2</w:t>
            </w:r>
            <w:r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Pr="00FC0786">
              <w:rPr>
                <w:rStyle w:val="Hipervnculo"/>
                <w:rFonts w:cs="Times New Roman"/>
                <w:noProof/>
              </w:rPr>
              <w:t>Grado de Ejecución Presupuestaria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_Toc86405420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21CA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AD55CD" w14:textId="27647023" w:rsidR="0047471E" w:rsidRDefault="0047471E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s-GT"/>
            </w:rPr>
          </w:pPr>
          <w:hyperlink w:anchor="_Toc86405421" w:history="1">
            <w:r w:rsidRPr="00FC0786">
              <w:rPr>
                <w:rStyle w:val="Hipervnculo"/>
                <w:lang w:val="es-MX"/>
              </w:rPr>
              <w:t>VI.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s-GT"/>
              </w:rPr>
              <w:tab/>
            </w:r>
            <w:r w:rsidRPr="00FC0786">
              <w:rPr>
                <w:rStyle w:val="Hipervnculo"/>
                <w:lang w:val="es-MX"/>
              </w:rPr>
              <w:t>Resultado Fiscal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_Toc86405421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21CA6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48C173B0" w14:textId="3F6CFF56" w:rsidR="0047471E" w:rsidRDefault="0047471E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86405423" w:history="1">
            <w:r w:rsidRPr="00FC0786">
              <w:rPr>
                <w:rStyle w:val="Hipervnculo"/>
                <w:rFonts w:cs="Times New Roman"/>
                <w:noProof/>
              </w:rPr>
              <w:t>6.1</w:t>
            </w:r>
            <w:r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Pr="00FC0786">
              <w:rPr>
                <w:rStyle w:val="Hipervnculo"/>
                <w:rFonts w:cs="Times New Roman"/>
                <w:noProof/>
              </w:rPr>
              <w:t>Resultado Operativo Negativo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_Toc86405423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21CA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7FF517" w14:textId="48B9B50C" w:rsidR="0047471E" w:rsidRDefault="0047471E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86405424" w:history="1">
            <w:r w:rsidRPr="00FC0786">
              <w:rPr>
                <w:rStyle w:val="Hipervnculo"/>
                <w:rFonts w:cs="Times New Roman"/>
                <w:noProof/>
              </w:rPr>
              <w:t>6.2</w:t>
            </w:r>
            <w:r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Pr="00FC0786">
              <w:rPr>
                <w:rStyle w:val="Hipervnculo"/>
                <w:rFonts w:cs="Times New Roman"/>
                <w:noProof/>
              </w:rPr>
              <w:t>Endeudamiento (Déficit fiscal) moderado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_Toc86405424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21CA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EFDA39" w14:textId="07EA3825" w:rsidR="0032588B" w:rsidRPr="00AC1506" w:rsidRDefault="0032588B" w:rsidP="00CD34D6">
          <w:pPr>
            <w:spacing w:line="276" w:lineRule="auto"/>
            <w:rPr>
              <w:rFonts w:cs="Times New Roman"/>
              <w:color w:val="FF0000"/>
            </w:rPr>
          </w:pPr>
          <w:r w:rsidRPr="00AC1506">
            <w:rPr>
              <w:rFonts w:cs="Times New Roman"/>
              <w:bCs/>
              <w:color w:val="FF0000"/>
              <w:lang w:val="es-ES"/>
            </w:rPr>
            <w:fldChar w:fldCharType="end"/>
          </w:r>
        </w:p>
      </w:sdtContent>
    </w:sdt>
    <w:p w14:paraId="762B340A" w14:textId="41A25F1E" w:rsidR="0041288C" w:rsidRPr="00AC1506" w:rsidRDefault="0041288C" w:rsidP="00CD34D6">
      <w:pPr>
        <w:spacing w:after="200" w:line="276" w:lineRule="auto"/>
        <w:rPr>
          <w:rFonts w:eastAsiaTheme="majorEastAsia" w:cs="Times New Roman"/>
          <w:b/>
          <w:bCs/>
          <w:szCs w:val="26"/>
        </w:rPr>
      </w:pPr>
      <w:bookmarkStart w:id="3" w:name="_Toc33180541"/>
      <w:r w:rsidRPr="00AC1506">
        <w:rPr>
          <w:rFonts w:eastAsiaTheme="majorEastAsia" w:cs="Times New Roman"/>
          <w:b/>
          <w:bCs/>
          <w:szCs w:val="26"/>
        </w:rPr>
        <w:br w:type="page"/>
      </w:r>
    </w:p>
    <w:p w14:paraId="6C76A338" w14:textId="72E3A05E" w:rsidR="0041288C" w:rsidRDefault="0041288C" w:rsidP="00055D08">
      <w:pPr>
        <w:pStyle w:val="Prrafodelista"/>
        <w:ind w:left="0"/>
        <w:outlineLvl w:val="0"/>
        <w:rPr>
          <w:rFonts w:eastAsiaTheme="majorEastAsia" w:cs="Times New Roman"/>
          <w:b/>
          <w:bCs/>
          <w:sz w:val="24"/>
          <w:szCs w:val="26"/>
          <w:lang w:val="es-ES_tradnl" w:eastAsia="es-ES"/>
        </w:rPr>
      </w:pPr>
      <w:bookmarkStart w:id="4" w:name="_Toc86405393"/>
      <w:r w:rsidRPr="00AC1506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lastRenderedPageBreak/>
        <w:t>Introducción</w:t>
      </w:r>
      <w:bookmarkEnd w:id="3"/>
      <w:bookmarkEnd w:id="4"/>
    </w:p>
    <w:p w14:paraId="39EBB9E0" w14:textId="2FB095E6" w:rsidR="00974B8B" w:rsidRPr="00AC1506" w:rsidRDefault="0041288C" w:rsidP="00F55D61">
      <w:pPr>
        <w:rPr>
          <w:lang w:val="es-MX"/>
        </w:rPr>
      </w:pPr>
      <w:r w:rsidRPr="00AC1506">
        <w:rPr>
          <w:lang w:val="es-MX"/>
        </w:rPr>
        <w:t>A continuación, se presenta el Informe</w:t>
      </w:r>
      <w:r w:rsidR="00445193" w:rsidRPr="00AC1506">
        <w:rPr>
          <w:lang w:val="es-MX"/>
        </w:rPr>
        <w:t xml:space="preserve"> </w:t>
      </w:r>
      <w:r w:rsidR="002E2298" w:rsidRPr="00AC1506">
        <w:rPr>
          <w:lang w:val="es-MX"/>
        </w:rPr>
        <w:t xml:space="preserve">del </w:t>
      </w:r>
      <w:r w:rsidR="002C33C1">
        <w:rPr>
          <w:lang w:val="es-MX"/>
        </w:rPr>
        <w:t>Tercer</w:t>
      </w:r>
      <w:r w:rsidR="002E2298" w:rsidRPr="00AC1506">
        <w:rPr>
          <w:lang w:val="es-MX"/>
        </w:rPr>
        <w:t xml:space="preserve"> </w:t>
      </w:r>
      <w:r w:rsidR="00C923AF">
        <w:rPr>
          <w:lang w:val="es-MX"/>
        </w:rPr>
        <w:t>T</w:t>
      </w:r>
      <w:r w:rsidR="002E2298" w:rsidRPr="00AC1506">
        <w:rPr>
          <w:lang w:val="es-MX"/>
        </w:rPr>
        <w:t>rimestre de 202</w:t>
      </w:r>
      <w:r w:rsidR="00071DD6">
        <w:rPr>
          <w:lang w:val="es-MX"/>
        </w:rPr>
        <w:t>1</w:t>
      </w:r>
      <w:r w:rsidR="002E2298" w:rsidRPr="00AC1506">
        <w:rPr>
          <w:lang w:val="es-MX"/>
        </w:rPr>
        <w:t xml:space="preserve">, </w:t>
      </w:r>
      <w:r w:rsidRPr="00AC1506">
        <w:rPr>
          <w:lang w:val="es-MX"/>
        </w:rPr>
        <w:t>sobre l</w:t>
      </w:r>
      <w:r w:rsidR="00D63046" w:rsidRPr="00AC1506">
        <w:rPr>
          <w:lang w:val="es-MX"/>
        </w:rPr>
        <w:t>a ejecución financiera del gobierno central presupuestario sobre la base de las</w:t>
      </w:r>
      <w:r w:rsidRPr="00AC1506">
        <w:rPr>
          <w:lang w:val="es-MX"/>
        </w:rPr>
        <w:t xml:space="preserve"> Estadísticas de las Finanzas Públicas -EFP- el cual contiene los aspectos más relevantes de la evolución de las variables fiscales</w:t>
      </w:r>
      <w:r w:rsidR="00D63046" w:rsidRPr="00AC1506">
        <w:rPr>
          <w:lang w:val="es-MX"/>
        </w:rPr>
        <w:t>, así como las</w:t>
      </w:r>
      <w:r w:rsidR="00AA5C09" w:rsidRPr="00AC1506">
        <w:rPr>
          <w:lang w:val="es-MX"/>
        </w:rPr>
        <w:t xml:space="preserve"> </w:t>
      </w:r>
      <w:r w:rsidRPr="00AC1506">
        <w:rPr>
          <w:lang w:val="es-MX"/>
        </w:rPr>
        <w:t>principales acciones en materia de ingresos, gasto, transacciones en activos y pasivos y las erogaciones por función del Gobierno</w:t>
      </w:r>
      <w:r w:rsidR="004E3572" w:rsidRPr="00AC1506">
        <w:rPr>
          <w:lang w:val="es-MX"/>
        </w:rPr>
        <w:t xml:space="preserve">. </w:t>
      </w:r>
    </w:p>
    <w:p w14:paraId="670D14B2" w14:textId="77777777" w:rsidR="00974B8B" w:rsidRPr="00AC1506" w:rsidRDefault="00974B8B" w:rsidP="00F55D61">
      <w:pPr>
        <w:rPr>
          <w:lang w:val="es-MX"/>
        </w:rPr>
      </w:pPr>
    </w:p>
    <w:p w14:paraId="18FF9F69" w14:textId="18B6F083" w:rsidR="0041288C" w:rsidRDefault="004E3572" w:rsidP="00F55D61">
      <w:pPr>
        <w:rPr>
          <w:lang w:val="es-MX"/>
        </w:rPr>
      </w:pPr>
      <w:r w:rsidRPr="00AC1506">
        <w:rPr>
          <w:lang w:val="es-MX"/>
        </w:rPr>
        <w:t xml:space="preserve">Cabe mencionar que dicha información utiliza los </w:t>
      </w:r>
      <w:r w:rsidR="005F2296" w:rsidRPr="00AC1506">
        <w:rPr>
          <w:lang w:val="es-MX"/>
        </w:rPr>
        <w:t>estándares internacionales establecidos en el Manual de Estadísticas de las Finanzas Públicas 2014 -MEFP-</w:t>
      </w:r>
      <w:r w:rsidR="00974B8B" w:rsidRPr="00AC1506">
        <w:rPr>
          <w:lang w:val="es-MX"/>
        </w:rPr>
        <w:t xml:space="preserve"> del Fondo Monetario </w:t>
      </w:r>
      <w:r w:rsidR="00F35956" w:rsidRPr="00AC1506">
        <w:rPr>
          <w:lang w:val="es-MX"/>
        </w:rPr>
        <w:t xml:space="preserve">Internacional </w:t>
      </w:r>
      <w:r w:rsidR="0041288C" w:rsidRPr="00AC1506">
        <w:rPr>
          <w:lang w:val="es-MX"/>
        </w:rPr>
        <w:t>-FMI- por lo que existen diferencias en comparación</w:t>
      </w:r>
      <w:r w:rsidR="00774760" w:rsidRPr="00AC1506">
        <w:rPr>
          <w:lang w:val="es-MX"/>
        </w:rPr>
        <w:t xml:space="preserve"> a las cifras que son publicadas </w:t>
      </w:r>
      <w:r w:rsidR="0041288C" w:rsidRPr="00AC1506">
        <w:rPr>
          <w:lang w:val="es-MX"/>
        </w:rPr>
        <w:t>utiliza</w:t>
      </w:r>
      <w:r w:rsidR="00774760" w:rsidRPr="00AC1506">
        <w:rPr>
          <w:lang w:val="es-MX"/>
        </w:rPr>
        <w:t>ndo</w:t>
      </w:r>
      <w:r w:rsidR="0041288C" w:rsidRPr="00AC1506">
        <w:rPr>
          <w:lang w:val="es-MX"/>
        </w:rPr>
        <w:t xml:space="preserve"> la metodología nacional.</w:t>
      </w:r>
      <w:r w:rsidR="00F8714D" w:rsidRPr="00AC1506">
        <w:rPr>
          <w:lang w:val="es-MX"/>
        </w:rPr>
        <w:t xml:space="preserve"> </w:t>
      </w:r>
      <w:r w:rsidR="003D1490" w:rsidRPr="00AC1506">
        <w:rPr>
          <w:lang w:val="es-MX"/>
        </w:rPr>
        <w:t xml:space="preserve">En caso de cualquier </w:t>
      </w:r>
      <w:r w:rsidR="00FA4254">
        <w:rPr>
          <w:lang w:val="es-MX"/>
        </w:rPr>
        <w:t>duda</w:t>
      </w:r>
      <w:r w:rsidR="00E507D9" w:rsidRPr="00AC1506">
        <w:rPr>
          <w:lang w:val="es-MX"/>
        </w:rPr>
        <w:t xml:space="preserve"> sobre estas diferencias</w:t>
      </w:r>
      <w:r w:rsidR="002710C2" w:rsidRPr="00AC1506">
        <w:rPr>
          <w:lang w:val="es-MX"/>
        </w:rPr>
        <w:t xml:space="preserve">, </w:t>
      </w:r>
      <w:r w:rsidR="00723705">
        <w:rPr>
          <w:lang w:val="es-MX"/>
        </w:rPr>
        <w:t xml:space="preserve">se </w:t>
      </w:r>
      <w:r w:rsidR="002710C2" w:rsidRPr="00AC1506">
        <w:rPr>
          <w:lang w:val="es-MX"/>
        </w:rPr>
        <w:t xml:space="preserve">puede consultar los documentos de </w:t>
      </w:r>
      <w:r w:rsidR="00C139AC" w:rsidRPr="00AC1506">
        <w:rPr>
          <w:lang w:val="es-MX"/>
        </w:rPr>
        <w:t>“</w:t>
      </w:r>
      <w:r w:rsidR="002710C2" w:rsidRPr="00AC1506">
        <w:rPr>
          <w:lang w:val="es-MX"/>
        </w:rPr>
        <w:t>Metodología</w:t>
      </w:r>
      <w:r w:rsidR="00C139AC" w:rsidRPr="00AC1506">
        <w:rPr>
          <w:lang w:val="es-MX"/>
        </w:rPr>
        <w:t>”</w:t>
      </w:r>
      <w:r w:rsidR="002710C2" w:rsidRPr="00AC1506">
        <w:rPr>
          <w:lang w:val="es-MX"/>
        </w:rPr>
        <w:t xml:space="preserve"> y de </w:t>
      </w:r>
      <w:r w:rsidR="00C139AC" w:rsidRPr="00AC1506">
        <w:rPr>
          <w:lang w:val="es-MX"/>
        </w:rPr>
        <w:t xml:space="preserve">“Metadatos” </w:t>
      </w:r>
      <w:r w:rsidR="00F42DC5" w:rsidRPr="00AC1506">
        <w:rPr>
          <w:lang w:val="es-MX"/>
        </w:rPr>
        <w:t xml:space="preserve">que se encuentran publicados en </w:t>
      </w:r>
      <w:r w:rsidR="00C923AF">
        <w:rPr>
          <w:lang w:val="es-MX"/>
        </w:rPr>
        <w:t xml:space="preserve">la </w:t>
      </w:r>
      <w:r w:rsidR="00DB2A3F" w:rsidRPr="00AC1506">
        <w:rPr>
          <w:lang w:val="es-MX"/>
        </w:rPr>
        <w:t>página</w:t>
      </w:r>
      <w:r w:rsidR="00F42DC5" w:rsidRPr="00AC1506">
        <w:rPr>
          <w:lang w:val="es-MX"/>
        </w:rPr>
        <w:t xml:space="preserve"> web</w:t>
      </w:r>
      <w:r w:rsidR="00C923AF">
        <w:rPr>
          <w:lang w:val="es-MX"/>
        </w:rPr>
        <w:t xml:space="preserve"> del Ministerio de Finanzas Públicas</w:t>
      </w:r>
      <w:r w:rsidR="00723705">
        <w:rPr>
          <w:lang w:val="es-MX"/>
        </w:rPr>
        <w:t>,</w:t>
      </w:r>
      <w:r w:rsidR="00C923AF">
        <w:rPr>
          <w:lang w:val="es-MX"/>
        </w:rPr>
        <w:t xml:space="preserve"> en la sección de “Estadísticas según Estándares Internacionales”</w:t>
      </w:r>
      <w:r w:rsidR="00F42DC5" w:rsidRPr="00AC1506">
        <w:rPr>
          <w:lang w:val="es-MX"/>
        </w:rPr>
        <w:t>.</w:t>
      </w:r>
    </w:p>
    <w:p w14:paraId="78B6BA97" w14:textId="77777777" w:rsidR="002B762F" w:rsidRDefault="002B762F" w:rsidP="00F55D61">
      <w:pPr>
        <w:rPr>
          <w:lang w:val="es-MX"/>
        </w:rPr>
      </w:pPr>
    </w:p>
    <w:p w14:paraId="6F0369AD" w14:textId="39277D9D" w:rsidR="002B762F" w:rsidRDefault="002B762F" w:rsidP="002B762F">
      <w:pPr>
        <w:pStyle w:val="Prrafodelista"/>
        <w:ind w:left="0"/>
        <w:outlineLvl w:val="0"/>
        <w:rPr>
          <w:rFonts w:eastAsiaTheme="majorEastAsia" w:cs="Times New Roman"/>
          <w:b/>
          <w:bCs/>
          <w:sz w:val="24"/>
          <w:szCs w:val="26"/>
          <w:lang w:val="es-ES_tradnl" w:eastAsia="es-ES"/>
        </w:rPr>
      </w:pPr>
      <w:bookmarkStart w:id="5" w:name="_Toc86405394"/>
      <w:r>
        <w:rPr>
          <w:rFonts w:eastAsiaTheme="majorEastAsia" w:cs="Times New Roman"/>
          <w:b/>
          <w:bCs/>
          <w:sz w:val="24"/>
          <w:szCs w:val="26"/>
          <w:lang w:val="es-ES_tradnl" w:eastAsia="es-ES"/>
        </w:rPr>
        <w:t>Cambios Metodológicos</w:t>
      </w:r>
      <w:r w:rsidR="003E2DB7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t xml:space="preserve"> 2021</w:t>
      </w:r>
      <w:bookmarkEnd w:id="5"/>
    </w:p>
    <w:p w14:paraId="3B0AC6BA" w14:textId="77777777" w:rsidR="001846A0" w:rsidRDefault="001846A0" w:rsidP="002B762F">
      <w:pPr>
        <w:pStyle w:val="Prrafodelista"/>
        <w:ind w:left="0"/>
        <w:outlineLvl w:val="0"/>
        <w:rPr>
          <w:rFonts w:eastAsiaTheme="majorEastAsia" w:cs="Times New Roman"/>
          <w:b/>
          <w:bCs/>
          <w:sz w:val="24"/>
          <w:szCs w:val="26"/>
          <w:lang w:val="es-ES_tradnl" w:eastAsia="es-ES"/>
        </w:rPr>
      </w:pPr>
    </w:p>
    <w:p w14:paraId="37675F4D" w14:textId="477793F9" w:rsidR="00B616D7" w:rsidRDefault="00A40DB2" w:rsidP="00F55D61">
      <w:pPr>
        <w:rPr>
          <w:lang w:val="es-MX"/>
        </w:rPr>
      </w:pPr>
      <w:r>
        <w:rPr>
          <w:lang w:val="es-MX"/>
        </w:rPr>
        <w:t xml:space="preserve">La implementación de los estándares internacionales </w:t>
      </w:r>
      <w:r w:rsidR="00A85A51">
        <w:rPr>
          <w:lang w:val="es-MX"/>
        </w:rPr>
        <w:t xml:space="preserve">sigue siendo parte de un proceso </w:t>
      </w:r>
      <w:r w:rsidR="006104E2">
        <w:rPr>
          <w:lang w:val="es-MX"/>
        </w:rPr>
        <w:t>que realiza</w:t>
      </w:r>
      <w:r w:rsidR="00320DA0">
        <w:rPr>
          <w:lang w:val="es-MX"/>
        </w:rPr>
        <w:t xml:space="preserve"> el</w:t>
      </w:r>
      <w:r w:rsidR="00661C98">
        <w:rPr>
          <w:lang w:val="es-MX"/>
        </w:rPr>
        <w:t xml:space="preserve"> Ministerio de Finanz</w:t>
      </w:r>
      <w:r w:rsidR="00DD7776">
        <w:rPr>
          <w:lang w:val="es-MX"/>
        </w:rPr>
        <w:t>a Públicas</w:t>
      </w:r>
      <w:r w:rsidR="00845478">
        <w:rPr>
          <w:lang w:val="es-MX"/>
        </w:rPr>
        <w:t xml:space="preserve"> </w:t>
      </w:r>
      <w:r w:rsidR="00320DA0">
        <w:rPr>
          <w:lang w:val="es-MX"/>
        </w:rPr>
        <w:t>con el fin de</w:t>
      </w:r>
      <w:r w:rsidR="00A85A51">
        <w:rPr>
          <w:lang w:val="es-MX"/>
        </w:rPr>
        <w:t xml:space="preserve"> fortalece</w:t>
      </w:r>
      <w:r w:rsidR="005509DA">
        <w:rPr>
          <w:lang w:val="es-MX"/>
        </w:rPr>
        <w:t>r</w:t>
      </w:r>
      <w:r w:rsidR="004E1B43">
        <w:rPr>
          <w:lang w:val="es-MX"/>
        </w:rPr>
        <w:t xml:space="preserve"> las EFP</w:t>
      </w:r>
      <w:r w:rsidR="00845478">
        <w:rPr>
          <w:lang w:val="es-MX"/>
        </w:rPr>
        <w:t xml:space="preserve"> de Guatemala</w:t>
      </w:r>
      <w:r w:rsidR="00430964">
        <w:rPr>
          <w:lang w:val="es-MX"/>
        </w:rPr>
        <w:t xml:space="preserve"> y</w:t>
      </w:r>
      <w:r w:rsidR="007F58FB">
        <w:rPr>
          <w:lang w:val="es-MX"/>
        </w:rPr>
        <w:t>,</w:t>
      </w:r>
      <w:r w:rsidR="00430964">
        <w:rPr>
          <w:lang w:val="es-MX"/>
        </w:rPr>
        <w:t xml:space="preserve"> c</w:t>
      </w:r>
      <w:r w:rsidR="005509DA">
        <w:rPr>
          <w:lang w:val="es-MX"/>
        </w:rPr>
        <w:t>on el apoyo</w:t>
      </w:r>
      <w:r w:rsidR="00320DA0">
        <w:rPr>
          <w:lang w:val="es-MX"/>
        </w:rPr>
        <w:t xml:space="preserve"> y supervisión</w:t>
      </w:r>
      <w:r w:rsidR="005509DA">
        <w:rPr>
          <w:lang w:val="es-MX"/>
        </w:rPr>
        <w:t xml:space="preserve"> del </w:t>
      </w:r>
      <w:r w:rsidR="005509DA" w:rsidRPr="00DD7776">
        <w:rPr>
          <w:lang w:val="es-MX"/>
        </w:rPr>
        <w:t>Centro Regional de Asistencia Técnica del FMI para Centroamérica, Panamá y la República Dominicana (CAPTAC-DR)</w:t>
      </w:r>
      <w:r w:rsidR="005509DA">
        <w:rPr>
          <w:lang w:val="es-MX"/>
        </w:rPr>
        <w:t>,</w:t>
      </w:r>
      <w:r w:rsidR="000369C8">
        <w:rPr>
          <w:lang w:val="es-MX"/>
        </w:rPr>
        <w:t xml:space="preserve"> durante el presente año se llevaron a cabo cambios metodológicos </w:t>
      </w:r>
      <w:r w:rsidR="002B07C9">
        <w:rPr>
          <w:lang w:val="es-MX"/>
        </w:rPr>
        <w:t>para</w:t>
      </w:r>
      <w:r w:rsidR="003D0804">
        <w:rPr>
          <w:lang w:val="es-MX"/>
        </w:rPr>
        <w:t xml:space="preserve"> incorporar </w:t>
      </w:r>
      <w:r w:rsidR="00A91631">
        <w:rPr>
          <w:lang w:val="es-MX"/>
        </w:rPr>
        <w:t xml:space="preserve">algunas </w:t>
      </w:r>
      <w:r w:rsidR="002B07C9">
        <w:rPr>
          <w:lang w:val="es-MX"/>
        </w:rPr>
        <w:t xml:space="preserve">directrices que requieren </w:t>
      </w:r>
      <w:r w:rsidR="00CD28BA">
        <w:rPr>
          <w:lang w:val="es-MX"/>
        </w:rPr>
        <w:t xml:space="preserve">de </w:t>
      </w:r>
      <w:r w:rsidR="006104E2">
        <w:rPr>
          <w:lang w:val="es-MX"/>
        </w:rPr>
        <w:t xml:space="preserve">mayor </w:t>
      </w:r>
      <w:r w:rsidR="00CD28BA">
        <w:rPr>
          <w:lang w:val="es-MX"/>
        </w:rPr>
        <w:t xml:space="preserve">complejidad </w:t>
      </w:r>
      <w:r w:rsidR="002B07C9">
        <w:rPr>
          <w:lang w:val="es-MX"/>
        </w:rPr>
        <w:t>en su implementación</w:t>
      </w:r>
      <w:r w:rsidR="00716880">
        <w:rPr>
          <w:lang w:val="es-MX"/>
        </w:rPr>
        <w:t>,</w:t>
      </w:r>
      <w:r w:rsidR="000D57BA">
        <w:rPr>
          <w:lang w:val="es-MX"/>
        </w:rPr>
        <w:t xml:space="preserve"> por lo que el presente documento </w:t>
      </w:r>
      <w:r w:rsidR="00430964">
        <w:rPr>
          <w:lang w:val="es-MX"/>
        </w:rPr>
        <w:t xml:space="preserve">cuenta con algunas diferencias en las cifras </w:t>
      </w:r>
      <w:r w:rsidR="000865AA">
        <w:rPr>
          <w:lang w:val="es-MX"/>
        </w:rPr>
        <w:t>históricas</w:t>
      </w:r>
      <w:r w:rsidR="00430964">
        <w:rPr>
          <w:lang w:val="es-MX"/>
        </w:rPr>
        <w:t xml:space="preserve"> </w:t>
      </w:r>
      <w:r w:rsidR="00716880">
        <w:rPr>
          <w:lang w:val="es-MX"/>
        </w:rPr>
        <w:t>respecto a</w:t>
      </w:r>
      <w:r w:rsidR="00430964">
        <w:rPr>
          <w:lang w:val="es-MX"/>
        </w:rPr>
        <w:t xml:space="preserve"> los informes trimestrales </w:t>
      </w:r>
      <w:r w:rsidR="002C33C1">
        <w:rPr>
          <w:lang w:val="es-MX"/>
        </w:rPr>
        <w:t xml:space="preserve">del año </w:t>
      </w:r>
      <w:r w:rsidR="00F556E7">
        <w:rPr>
          <w:lang w:val="es-MX"/>
        </w:rPr>
        <w:t>2020</w:t>
      </w:r>
      <w:r w:rsidR="00430964">
        <w:rPr>
          <w:lang w:val="es-MX"/>
        </w:rPr>
        <w:t>.</w:t>
      </w:r>
    </w:p>
    <w:p w14:paraId="3E2EFA2F" w14:textId="77777777" w:rsidR="00633683" w:rsidRPr="00193923" w:rsidRDefault="00633683" w:rsidP="00F55D61">
      <w:pPr>
        <w:rPr>
          <w:szCs w:val="22"/>
          <w:lang w:val="es-MX"/>
        </w:rPr>
      </w:pPr>
    </w:p>
    <w:p w14:paraId="5741AEC2" w14:textId="23DE093D" w:rsidR="00E66A98" w:rsidRPr="00AC1506" w:rsidRDefault="00A52F77" w:rsidP="00E66A98">
      <w:pPr>
        <w:pStyle w:val="Prrafodelista"/>
        <w:numPr>
          <w:ilvl w:val="0"/>
          <w:numId w:val="1"/>
        </w:numPr>
        <w:ind w:left="284" w:hanging="284"/>
        <w:outlineLvl w:val="0"/>
        <w:rPr>
          <w:rFonts w:eastAsiaTheme="majorEastAsia" w:cs="Times New Roman"/>
          <w:b/>
          <w:bCs/>
          <w:sz w:val="24"/>
          <w:szCs w:val="26"/>
          <w:lang w:val="es-ES_tradnl" w:eastAsia="es-ES"/>
        </w:rPr>
      </w:pPr>
      <w:bookmarkStart w:id="6" w:name="_Toc86405395"/>
      <w:bookmarkEnd w:id="1"/>
      <w:bookmarkEnd w:id="2"/>
      <w:r w:rsidRPr="00AC1506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t>Ingresos</w:t>
      </w:r>
      <w:r w:rsidR="00E66A98" w:rsidRPr="00AC1506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t xml:space="preserve"> </w:t>
      </w:r>
      <w:r w:rsidR="00301F9F" w:rsidRPr="00AC1506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t>del Gobierno Central Presupuestario</w:t>
      </w:r>
      <w:bookmarkEnd w:id="6"/>
    </w:p>
    <w:p w14:paraId="03BC969A" w14:textId="50FCF76D" w:rsidR="00E66A98" w:rsidRPr="00AC1506" w:rsidRDefault="00DB2C33" w:rsidP="002C3755">
      <w:pPr>
        <w:rPr>
          <w:rFonts w:eastAsiaTheme="majorEastAsia"/>
          <w:lang w:val="es-ES_tradnl"/>
        </w:rPr>
      </w:pPr>
      <w:r w:rsidRPr="00AC1506">
        <w:rPr>
          <w:rFonts w:eastAsiaTheme="majorEastAsia"/>
          <w:noProof/>
          <w:lang w:eastAsia="es-GT"/>
        </w:rPr>
        <w:drawing>
          <wp:inline distT="0" distB="0" distL="0" distR="0" wp14:anchorId="2394B235" wp14:editId="45E3F372">
            <wp:extent cx="5836920" cy="876300"/>
            <wp:effectExtent l="76200" t="38100" r="87630" b="133350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bookmarkStart w:id="7" w:name="_Toc471986924"/>
      <w:bookmarkStart w:id="8" w:name="_Toc471987059"/>
      <w:bookmarkStart w:id="9" w:name="_Toc471987107"/>
      <w:bookmarkStart w:id="10" w:name="_Toc471987129"/>
      <w:bookmarkStart w:id="11" w:name="_Toc472082158"/>
      <w:bookmarkStart w:id="12" w:name="_Toc472082190"/>
      <w:bookmarkStart w:id="13" w:name="_Toc472089905"/>
      <w:bookmarkStart w:id="14" w:name="_Toc472089928"/>
      <w:bookmarkStart w:id="15" w:name="_Toc505346056"/>
      <w:bookmarkStart w:id="16" w:name="_Toc505349869"/>
      <w:bookmarkStart w:id="17" w:name="_Toc534985827"/>
      <w:bookmarkStart w:id="18" w:name="_Toc534988220"/>
      <w:bookmarkStart w:id="19" w:name="_Toc31611540"/>
      <w:bookmarkStart w:id="20" w:name="_Toc31612756"/>
      <w:bookmarkStart w:id="21" w:name="_Toc31612788"/>
      <w:bookmarkStart w:id="22" w:name="_Toc31614814"/>
      <w:bookmarkStart w:id="23" w:name="_Toc31614846"/>
      <w:bookmarkStart w:id="24" w:name="_Toc31618683"/>
      <w:bookmarkStart w:id="25" w:name="_Toc31618716"/>
      <w:bookmarkStart w:id="26" w:name="_Toc31624492"/>
      <w:bookmarkStart w:id="27" w:name="_Toc31625344"/>
      <w:bookmarkStart w:id="28" w:name="_Toc31626799"/>
      <w:bookmarkStart w:id="29" w:name="_Toc31811250"/>
      <w:bookmarkStart w:id="30" w:name="_Toc31811695"/>
      <w:bookmarkStart w:id="31" w:name="_Toc31971858"/>
      <w:bookmarkStart w:id="32" w:name="_Toc32230880"/>
      <w:bookmarkStart w:id="33" w:name="_Toc33109779"/>
      <w:bookmarkStart w:id="34" w:name="_Toc33109822"/>
      <w:bookmarkStart w:id="35" w:name="_Toc33180543"/>
      <w:bookmarkStart w:id="36" w:name="_Toc33180637"/>
      <w:bookmarkStart w:id="37" w:name="_Toc33193534"/>
      <w:bookmarkStart w:id="38" w:name="_Toc33193573"/>
      <w:bookmarkStart w:id="39" w:name="_Toc33196770"/>
      <w:bookmarkStart w:id="40" w:name="_Toc40691746"/>
      <w:bookmarkStart w:id="41" w:name="_Toc40959149"/>
      <w:bookmarkStart w:id="42" w:name="_Toc40975983"/>
      <w:bookmarkStart w:id="43" w:name="_Toc40976052"/>
      <w:bookmarkStart w:id="44" w:name="_Toc40993307"/>
      <w:bookmarkStart w:id="45" w:name="_Toc40993689"/>
      <w:bookmarkStart w:id="46" w:name="_Toc41037565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14:paraId="74EA4DCF" w14:textId="372C4216" w:rsidR="00E66A98" w:rsidRPr="00AC1506" w:rsidRDefault="00294F15" w:rsidP="00EB6D9F">
      <w:pPr>
        <w:pStyle w:val="Ttulo2"/>
        <w:numPr>
          <w:ilvl w:val="1"/>
          <w:numId w:val="11"/>
        </w:numPr>
        <w:tabs>
          <w:tab w:val="left" w:pos="426"/>
        </w:tabs>
        <w:spacing w:before="0"/>
        <w:ind w:left="284" w:hanging="284"/>
        <w:rPr>
          <w:rFonts w:ascii="Times New Roman" w:hAnsi="Times New Roman" w:cs="Times New Roman"/>
          <w:color w:val="auto"/>
          <w:sz w:val="24"/>
        </w:rPr>
      </w:pPr>
      <w:bookmarkStart w:id="47" w:name="_Toc86405396"/>
      <w:r>
        <w:rPr>
          <w:rFonts w:ascii="Times New Roman" w:hAnsi="Times New Roman" w:cs="Times New Roman"/>
          <w:color w:val="auto"/>
          <w:sz w:val="24"/>
        </w:rPr>
        <w:t xml:space="preserve">Los ingresos </w:t>
      </w:r>
      <w:r w:rsidR="00044AF8">
        <w:rPr>
          <w:rFonts w:ascii="Times New Roman" w:hAnsi="Times New Roman" w:cs="Times New Roman"/>
          <w:color w:val="auto"/>
          <w:sz w:val="24"/>
        </w:rPr>
        <w:t xml:space="preserve">totales </w:t>
      </w:r>
      <w:r w:rsidR="00C408ED">
        <w:rPr>
          <w:rFonts w:ascii="Times New Roman" w:hAnsi="Times New Roman" w:cs="Times New Roman"/>
          <w:color w:val="auto"/>
          <w:sz w:val="24"/>
        </w:rPr>
        <w:t xml:space="preserve">continúan </w:t>
      </w:r>
      <w:r w:rsidR="00444437">
        <w:rPr>
          <w:rFonts w:ascii="Times New Roman" w:hAnsi="Times New Roman" w:cs="Times New Roman"/>
          <w:color w:val="auto"/>
          <w:sz w:val="24"/>
        </w:rPr>
        <w:t>mostrando un crecimiento importante</w:t>
      </w:r>
      <w:bookmarkEnd w:id="47"/>
    </w:p>
    <w:p w14:paraId="34D61FEF" w14:textId="48EC8CAD" w:rsidR="00692A00" w:rsidRDefault="00364296" w:rsidP="00CD34D6">
      <w:pPr>
        <w:rPr>
          <w:rFonts w:cs="Times New Roman"/>
          <w:szCs w:val="22"/>
        </w:rPr>
      </w:pPr>
      <w:r>
        <w:rPr>
          <w:rFonts w:cs="Times New Roman"/>
          <w:szCs w:val="22"/>
        </w:rPr>
        <w:t>A</w:t>
      </w:r>
      <w:r w:rsidR="00AF1F85">
        <w:rPr>
          <w:rFonts w:cs="Times New Roman"/>
          <w:szCs w:val="22"/>
        </w:rPr>
        <w:t xml:space="preserve">l mes de </w:t>
      </w:r>
      <w:r w:rsidR="00F90E2D">
        <w:rPr>
          <w:rFonts w:cs="Times New Roman"/>
          <w:szCs w:val="22"/>
        </w:rPr>
        <w:t>septiembre</w:t>
      </w:r>
      <w:r w:rsidR="00AA32B8">
        <w:rPr>
          <w:rFonts w:cs="Times New Roman"/>
          <w:szCs w:val="22"/>
        </w:rPr>
        <w:t xml:space="preserve"> de 2021</w:t>
      </w:r>
      <w:r w:rsidR="00AF1F85">
        <w:rPr>
          <w:rFonts w:cs="Times New Roman"/>
          <w:szCs w:val="22"/>
        </w:rPr>
        <w:t xml:space="preserve"> </w:t>
      </w:r>
      <w:r w:rsidR="00F90E2D">
        <w:rPr>
          <w:rFonts w:cs="Times New Roman"/>
          <w:szCs w:val="22"/>
        </w:rPr>
        <w:t>se observa</w:t>
      </w:r>
      <w:r w:rsidR="00AF1F85">
        <w:rPr>
          <w:rFonts w:cs="Times New Roman"/>
          <w:szCs w:val="22"/>
        </w:rPr>
        <w:t xml:space="preserve"> un </w:t>
      </w:r>
      <w:r w:rsidR="008D1FDF">
        <w:rPr>
          <w:rFonts w:cs="Times New Roman"/>
          <w:szCs w:val="22"/>
        </w:rPr>
        <w:t>total de</w:t>
      </w:r>
      <w:r w:rsidR="001A2E9A">
        <w:rPr>
          <w:rFonts w:cs="Times New Roman"/>
          <w:szCs w:val="22"/>
        </w:rPr>
        <w:t xml:space="preserve"> </w:t>
      </w:r>
      <w:r w:rsidR="00442A6C">
        <w:rPr>
          <w:rFonts w:cs="Times New Roman"/>
          <w:szCs w:val="22"/>
        </w:rPr>
        <w:t>Q</w:t>
      </w:r>
      <w:r w:rsidR="006B68E0">
        <w:rPr>
          <w:rFonts w:cs="Times New Roman"/>
          <w:szCs w:val="22"/>
        </w:rPr>
        <w:t>60,2</w:t>
      </w:r>
      <w:r w:rsidR="00DA79DE">
        <w:rPr>
          <w:rFonts w:cs="Times New Roman"/>
          <w:szCs w:val="22"/>
        </w:rPr>
        <w:t>46.1</w:t>
      </w:r>
      <w:r w:rsidR="00442A6C">
        <w:rPr>
          <w:rFonts w:cs="Times New Roman"/>
          <w:szCs w:val="22"/>
        </w:rPr>
        <w:t xml:space="preserve"> </w:t>
      </w:r>
      <w:r w:rsidR="001604DC">
        <w:rPr>
          <w:rFonts w:cs="Times New Roman"/>
          <w:szCs w:val="22"/>
        </w:rPr>
        <w:t>m</w:t>
      </w:r>
      <w:r w:rsidR="00442A6C">
        <w:rPr>
          <w:rFonts w:cs="Times New Roman"/>
          <w:szCs w:val="22"/>
        </w:rPr>
        <w:t>illones</w:t>
      </w:r>
      <w:r w:rsidR="00DA79DE">
        <w:rPr>
          <w:rFonts w:cs="Times New Roman"/>
          <w:szCs w:val="22"/>
        </w:rPr>
        <w:t xml:space="preserve"> en </w:t>
      </w:r>
      <w:r w:rsidR="001A5694">
        <w:rPr>
          <w:rFonts w:cs="Times New Roman"/>
          <w:szCs w:val="22"/>
        </w:rPr>
        <w:t xml:space="preserve">los </w:t>
      </w:r>
      <w:r w:rsidR="00DA79DE">
        <w:rPr>
          <w:rFonts w:cs="Times New Roman"/>
          <w:szCs w:val="22"/>
        </w:rPr>
        <w:t xml:space="preserve">ingresos totales, </w:t>
      </w:r>
      <w:r w:rsidR="00D943F0">
        <w:rPr>
          <w:rFonts w:cs="Times New Roman"/>
          <w:szCs w:val="22"/>
        </w:rPr>
        <w:t>este es</w:t>
      </w:r>
      <w:r w:rsidR="00DA79DE">
        <w:rPr>
          <w:rFonts w:cs="Times New Roman"/>
          <w:szCs w:val="22"/>
        </w:rPr>
        <w:t xml:space="preserve"> </w:t>
      </w:r>
      <w:r w:rsidR="006373C5">
        <w:rPr>
          <w:rFonts w:cs="Times New Roman"/>
          <w:szCs w:val="22"/>
        </w:rPr>
        <w:t xml:space="preserve">un crecimiento interanual del </w:t>
      </w:r>
      <w:r w:rsidR="009673C7">
        <w:rPr>
          <w:rFonts w:cs="Times New Roman"/>
          <w:szCs w:val="22"/>
        </w:rPr>
        <w:t>2</w:t>
      </w:r>
      <w:r w:rsidR="00DA79DE">
        <w:rPr>
          <w:rFonts w:cs="Times New Roman"/>
          <w:szCs w:val="22"/>
        </w:rPr>
        <w:t>7</w:t>
      </w:r>
      <w:r w:rsidR="009673C7">
        <w:rPr>
          <w:rFonts w:cs="Times New Roman"/>
          <w:szCs w:val="22"/>
        </w:rPr>
        <w:t>.</w:t>
      </w:r>
      <w:r w:rsidR="00DA79DE">
        <w:rPr>
          <w:rFonts w:cs="Times New Roman"/>
          <w:szCs w:val="22"/>
        </w:rPr>
        <w:t>4</w:t>
      </w:r>
      <w:r w:rsidR="00A16743">
        <w:rPr>
          <w:rFonts w:cs="Times New Roman"/>
          <w:szCs w:val="22"/>
        </w:rPr>
        <w:t xml:space="preserve">% que </w:t>
      </w:r>
      <w:r w:rsidR="004F75B7">
        <w:rPr>
          <w:rFonts w:cs="Times New Roman"/>
          <w:szCs w:val="22"/>
        </w:rPr>
        <w:t>equivale a</w:t>
      </w:r>
      <w:r w:rsidR="00A16743">
        <w:rPr>
          <w:rFonts w:cs="Times New Roman"/>
          <w:szCs w:val="22"/>
        </w:rPr>
        <w:t xml:space="preserve"> un </w:t>
      </w:r>
      <w:r w:rsidR="00AA32B8">
        <w:rPr>
          <w:rFonts w:cs="Times New Roman"/>
          <w:szCs w:val="22"/>
        </w:rPr>
        <w:t>aumento</w:t>
      </w:r>
      <w:r w:rsidR="00A16743">
        <w:rPr>
          <w:rFonts w:cs="Times New Roman"/>
          <w:szCs w:val="22"/>
        </w:rPr>
        <w:t xml:space="preserve"> de </w:t>
      </w:r>
      <w:r w:rsidR="006C209F">
        <w:rPr>
          <w:rFonts w:cs="Times New Roman"/>
          <w:szCs w:val="22"/>
        </w:rPr>
        <w:t>Q</w:t>
      </w:r>
      <w:r w:rsidR="00DA79DE">
        <w:rPr>
          <w:rFonts w:cs="Times New Roman"/>
          <w:szCs w:val="22"/>
        </w:rPr>
        <w:t>12</w:t>
      </w:r>
      <w:r w:rsidR="006C209F">
        <w:rPr>
          <w:rFonts w:cs="Times New Roman"/>
          <w:szCs w:val="22"/>
        </w:rPr>
        <w:t>,</w:t>
      </w:r>
      <w:r w:rsidR="00DA79DE">
        <w:rPr>
          <w:rFonts w:cs="Times New Roman"/>
          <w:szCs w:val="22"/>
        </w:rPr>
        <w:t>942</w:t>
      </w:r>
      <w:r w:rsidR="006C209F">
        <w:rPr>
          <w:rFonts w:cs="Times New Roman"/>
          <w:szCs w:val="22"/>
        </w:rPr>
        <w:t>.</w:t>
      </w:r>
      <w:r w:rsidR="00DA79DE">
        <w:rPr>
          <w:rFonts w:cs="Times New Roman"/>
          <w:szCs w:val="22"/>
        </w:rPr>
        <w:t>6</w:t>
      </w:r>
      <w:r w:rsidR="006C209F">
        <w:rPr>
          <w:rFonts w:cs="Times New Roman"/>
          <w:szCs w:val="22"/>
        </w:rPr>
        <w:t xml:space="preserve"> millones</w:t>
      </w:r>
      <w:r w:rsidR="00A16743">
        <w:rPr>
          <w:rFonts w:cs="Times New Roman"/>
          <w:szCs w:val="22"/>
        </w:rPr>
        <w:t xml:space="preserve"> respecto a lo observado durante el mismo periodo del año previo. </w:t>
      </w:r>
      <w:r w:rsidR="00D84F43">
        <w:rPr>
          <w:rFonts w:cs="Times New Roman"/>
          <w:szCs w:val="22"/>
        </w:rPr>
        <w:t xml:space="preserve">El comportamiento </w:t>
      </w:r>
      <w:r w:rsidR="00D9112A">
        <w:rPr>
          <w:rFonts w:cs="Times New Roman"/>
          <w:szCs w:val="22"/>
        </w:rPr>
        <w:t>de los ingresos</w:t>
      </w:r>
      <w:r w:rsidR="00E550D2">
        <w:rPr>
          <w:rFonts w:cs="Times New Roman"/>
          <w:szCs w:val="22"/>
        </w:rPr>
        <w:t xml:space="preserve"> </w:t>
      </w:r>
      <w:r w:rsidR="00D9112A">
        <w:rPr>
          <w:rFonts w:cs="Times New Roman"/>
          <w:szCs w:val="22"/>
        </w:rPr>
        <w:t>a</w:t>
      </w:r>
      <w:r w:rsidR="008F0F03">
        <w:rPr>
          <w:rFonts w:cs="Times New Roman"/>
          <w:szCs w:val="22"/>
        </w:rPr>
        <w:t>l tercer trimestre</w:t>
      </w:r>
      <w:r w:rsidR="0061439E">
        <w:rPr>
          <w:rFonts w:cs="Times New Roman"/>
          <w:szCs w:val="22"/>
        </w:rPr>
        <w:t xml:space="preserve"> continua con </w:t>
      </w:r>
      <w:r w:rsidR="004F75B7">
        <w:rPr>
          <w:rFonts w:cs="Times New Roman"/>
          <w:szCs w:val="22"/>
        </w:rPr>
        <w:t xml:space="preserve">el buen </w:t>
      </w:r>
      <w:r w:rsidR="00D943F0">
        <w:rPr>
          <w:rFonts w:cs="Times New Roman"/>
          <w:szCs w:val="22"/>
        </w:rPr>
        <w:t>dinamismo</w:t>
      </w:r>
      <w:r w:rsidR="00DD63E5">
        <w:rPr>
          <w:rFonts w:cs="Times New Roman"/>
          <w:szCs w:val="22"/>
        </w:rPr>
        <w:t xml:space="preserve"> </w:t>
      </w:r>
      <w:r w:rsidR="00D943F0">
        <w:rPr>
          <w:rFonts w:cs="Times New Roman"/>
          <w:szCs w:val="22"/>
        </w:rPr>
        <w:t xml:space="preserve">que se venía </w:t>
      </w:r>
      <w:r w:rsidR="00DD63E5">
        <w:rPr>
          <w:rFonts w:cs="Times New Roman"/>
          <w:szCs w:val="22"/>
        </w:rPr>
        <w:t>observa</w:t>
      </w:r>
      <w:r w:rsidR="00D943F0">
        <w:rPr>
          <w:rFonts w:cs="Times New Roman"/>
          <w:szCs w:val="22"/>
        </w:rPr>
        <w:t>ndo</w:t>
      </w:r>
      <w:r w:rsidR="00DD63E5">
        <w:rPr>
          <w:rFonts w:cs="Times New Roman"/>
          <w:szCs w:val="22"/>
        </w:rPr>
        <w:t xml:space="preserve"> </w:t>
      </w:r>
      <w:r w:rsidR="00D943F0">
        <w:rPr>
          <w:rFonts w:cs="Times New Roman"/>
          <w:szCs w:val="22"/>
        </w:rPr>
        <w:t xml:space="preserve">en los </w:t>
      </w:r>
      <w:r w:rsidR="00E550D2">
        <w:rPr>
          <w:rFonts w:cs="Times New Roman"/>
          <w:szCs w:val="22"/>
        </w:rPr>
        <w:t>dos</w:t>
      </w:r>
      <w:r w:rsidR="00D943F0">
        <w:rPr>
          <w:rFonts w:cs="Times New Roman"/>
          <w:szCs w:val="22"/>
        </w:rPr>
        <w:t xml:space="preserve"> trimestres</w:t>
      </w:r>
      <w:r w:rsidR="00E550D2">
        <w:rPr>
          <w:rFonts w:cs="Times New Roman"/>
          <w:szCs w:val="22"/>
        </w:rPr>
        <w:t xml:space="preserve"> anteriores.</w:t>
      </w:r>
      <w:r w:rsidR="005B1D23">
        <w:rPr>
          <w:rFonts w:cs="Times New Roman"/>
          <w:szCs w:val="22"/>
        </w:rPr>
        <w:t xml:space="preserve"> </w:t>
      </w:r>
    </w:p>
    <w:p w14:paraId="6C04098A" w14:textId="77777777" w:rsidR="00500A5D" w:rsidRDefault="00500A5D" w:rsidP="00CD34D6">
      <w:pPr>
        <w:rPr>
          <w:rFonts w:cs="Times New Roman"/>
          <w:szCs w:val="22"/>
        </w:rPr>
      </w:pPr>
      <w:r w:rsidRPr="00AC1506">
        <w:rPr>
          <w:rFonts w:cs="Times New Roman"/>
          <w:noProof/>
          <w:sz w:val="24"/>
          <w:lang w:eastAsia="es-GT"/>
        </w:rPr>
        <w:drawing>
          <wp:inline distT="0" distB="0" distL="0" distR="0" wp14:anchorId="0E488811" wp14:editId="2021B714">
            <wp:extent cx="6011545" cy="2370406"/>
            <wp:effectExtent l="0" t="0" r="8255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9FC44EA" w14:textId="77777777" w:rsidR="00D550B4" w:rsidRDefault="00D550B4" w:rsidP="00CD34D6">
      <w:pPr>
        <w:rPr>
          <w:rFonts w:cs="Times New Roman"/>
          <w:szCs w:val="22"/>
        </w:rPr>
      </w:pPr>
      <w:r w:rsidRPr="00AC1506">
        <w:rPr>
          <w:noProof/>
          <w:lang w:eastAsia="es-GT"/>
        </w:rPr>
        <w:lastRenderedPageBreak/>
        <w:drawing>
          <wp:inline distT="0" distB="0" distL="0" distR="0" wp14:anchorId="0B894B39" wp14:editId="4B8BD031">
            <wp:extent cx="5971540" cy="1741017"/>
            <wp:effectExtent l="0" t="0" r="0" b="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4D2A9EE" w14:textId="77777777" w:rsidR="00D550B4" w:rsidRPr="00AC1506" w:rsidRDefault="00D550B4" w:rsidP="00D550B4">
      <w:pPr>
        <w:pStyle w:val="Prrafodelista"/>
        <w:ind w:left="0"/>
        <w:jc w:val="left"/>
      </w:pPr>
      <w:r w:rsidRPr="00AC1506">
        <w:t>*Cifras preliminares</w:t>
      </w:r>
    </w:p>
    <w:p w14:paraId="30CDE867" w14:textId="77777777" w:rsidR="00D550B4" w:rsidRPr="00AC1506" w:rsidRDefault="00D550B4" w:rsidP="00D550B4">
      <w:pPr>
        <w:pStyle w:val="Prrafodelista"/>
        <w:ind w:left="0"/>
        <w:jc w:val="left"/>
      </w:pPr>
      <w:r w:rsidRPr="00AC1506">
        <w:t xml:space="preserve"> Fuente: MINFIN</w:t>
      </w:r>
    </w:p>
    <w:p w14:paraId="09E3A923" w14:textId="77777777" w:rsidR="00D550B4" w:rsidRDefault="00D550B4" w:rsidP="00CD34D6">
      <w:pPr>
        <w:rPr>
          <w:rFonts w:cs="Times New Roman"/>
          <w:szCs w:val="22"/>
        </w:rPr>
      </w:pPr>
    </w:p>
    <w:p w14:paraId="0D863396" w14:textId="42A3CF58" w:rsidR="00A05973" w:rsidRDefault="000A5922" w:rsidP="00CD34D6">
      <w:pPr>
        <w:rPr>
          <w:rFonts w:cs="Times New Roman"/>
          <w:szCs w:val="22"/>
        </w:rPr>
      </w:pPr>
      <w:r>
        <w:rPr>
          <w:rFonts w:cs="Times New Roman"/>
          <w:szCs w:val="22"/>
        </w:rPr>
        <w:t xml:space="preserve">Los impuestos han sido </w:t>
      </w:r>
      <w:r w:rsidR="00352045">
        <w:rPr>
          <w:rFonts w:cs="Times New Roman"/>
          <w:szCs w:val="22"/>
        </w:rPr>
        <w:t>l</w:t>
      </w:r>
      <w:r w:rsidR="003B740C">
        <w:rPr>
          <w:rFonts w:cs="Times New Roman"/>
          <w:szCs w:val="22"/>
        </w:rPr>
        <w:t xml:space="preserve">a principal razón del buen dinamismo en los ingresos </w:t>
      </w:r>
      <w:r w:rsidR="00CD397C">
        <w:rPr>
          <w:rFonts w:cs="Times New Roman"/>
          <w:szCs w:val="22"/>
        </w:rPr>
        <w:t xml:space="preserve">totales, mostrando una variación </w:t>
      </w:r>
      <w:r w:rsidR="004A0A73">
        <w:rPr>
          <w:rFonts w:cs="Times New Roman"/>
          <w:szCs w:val="22"/>
        </w:rPr>
        <w:t>interanual acumulad</w:t>
      </w:r>
      <w:r w:rsidR="00CD397C">
        <w:rPr>
          <w:rFonts w:cs="Times New Roman"/>
          <w:szCs w:val="22"/>
        </w:rPr>
        <w:t>a</w:t>
      </w:r>
      <w:r w:rsidR="004A0A73">
        <w:rPr>
          <w:rFonts w:cs="Times New Roman"/>
          <w:szCs w:val="22"/>
        </w:rPr>
        <w:t xml:space="preserve"> del </w:t>
      </w:r>
      <w:r w:rsidR="00B813BB">
        <w:rPr>
          <w:rFonts w:cs="Times New Roman"/>
          <w:szCs w:val="22"/>
        </w:rPr>
        <w:t>2</w:t>
      </w:r>
      <w:r w:rsidR="00C85346">
        <w:rPr>
          <w:rFonts w:cs="Times New Roman"/>
          <w:szCs w:val="22"/>
        </w:rPr>
        <w:t>9</w:t>
      </w:r>
      <w:r w:rsidR="004A0A73">
        <w:rPr>
          <w:rFonts w:cs="Times New Roman"/>
          <w:szCs w:val="22"/>
        </w:rPr>
        <w:t>.</w:t>
      </w:r>
      <w:r w:rsidR="00C85346">
        <w:rPr>
          <w:rFonts w:cs="Times New Roman"/>
          <w:szCs w:val="22"/>
        </w:rPr>
        <w:t>4</w:t>
      </w:r>
      <w:r w:rsidR="004A0A73">
        <w:rPr>
          <w:rFonts w:cs="Times New Roman"/>
          <w:szCs w:val="22"/>
        </w:rPr>
        <w:t>% (</w:t>
      </w:r>
      <w:r w:rsidR="00E71063">
        <w:rPr>
          <w:rFonts w:cs="Times New Roman"/>
          <w:szCs w:val="22"/>
        </w:rPr>
        <w:t>Q</w:t>
      </w:r>
      <w:r w:rsidR="00C85346">
        <w:rPr>
          <w:rFonts w:cs="Times New Roman"/>
          <w:szCs w:val="22"/>
        </w:rPr>
        <w:t>12</w:t>
      </w:r>
      <w:r w:rsidR="00E71063">
        <w:rPr>
          <w:rFonts w:cs="Times New Roman"/>
          <w:szCs w:val="22"/>
        </w:rPr>
        <w:t>,</w:t>
      </w:r>
      <w:r w:rsidR="00FA0C47">
        <w:rPr>
          <w:rFonts w:cs="Times New Roman"/>
          <w:szCs w:val="22"/>
        </w:rPr>
        <w:t>4</w:t>
      </w:r>
      <w:r w:rsidR="00C85346">
        <w:rPr>
          <w:rFonts w:cs="Times New Roman"/>
          <w:szCs w:val="22"/>
        </w:rPr>
        <w:t>68</w:t>
      </w:r>
      <w:r w:rsidR="00E71063">
        <w:rPr>
          <w:rFonts w:cs="Times New Roman"/>
          <w:szCs w:val="22"/>
        </w:rPr>
        <w:t>.</w:t>
      </w:r>
      <w:r w:rsidR="00C85346">
        <w:rPr>
          <w:rFonts w:cs="Times New Roman"/>
          <w:szCs w:val="22"/>
        </w:rPr>
        <w:t>5</w:t>
      </w:r>
      <w:r w:rsidR="00E71063">
        <w:rPr>
          <w:rFonts w:cs="Times New Roman"/>
          <w:szCs w:val="22"/>
        </w:rPr>
        <w:t xml:space="preserve"> millones) </w:t>
      </w:r>
      <w:r w:rsidR="00E71063" w:rsidRPr="004451B4">
        <w:rPr>
          <w:rFonts w:cs="Times New Roman"/>
          <w:szCs w:val="22"/>
        </w:rPr>
        <w:t>seguido</w:t>
      </w:r>
      <w:r w:rsidR="008944F2" w:rsidRPr="004451B4">
        <w:rPr>
          <w:rFonts w:cs="Times New Roman"/>
          <w:szCs w:val="22"/>
        </w:rPr>
        <w:t xml:space="preserve"> de</w:t>
      </w:r>
      <w:r w:rsidR="00781422" w:rsidRPr="00781422">
        <w:rPr>
          <w:rFonts w:cs="Times New Roman"/>
          <w:szCs w:val="22"/>
        </w:rPr>
        <w:t xml:space="preserve"> </w:t>
      </w:r>
      <w:r w:rsidR="002D4A5A">
        <w:rPr>
          <w:rFonts w:cs="Times New Roman"/>
          <w:szCs w:val="22"/>
        </w:rPr>
        <w:t xml:space="preserve">la categoría de otros ingresos </w:t>
      </w:r>
      <w:r w:rsidR="002A6112">
        <w:rPr>
          <w:rFonts w:cs="Times New Roman"/>
          <w:szCs w:val="22"/>
        </w:rPr>
        <w:t>con</w:t>
      </w:r>
      <w:r w:rsidR="002D4A5A">
        <w:rPr>
          <w:rFonts w:cs="Times New Roman"/>
          <w:szCs w:val="22"/>
        </w:rPr>
        <w:t xml:space="preserve"> </w:t>
      </w:r>
      <w:r w:rsidR="00C85346">
        <w:rPr>
          <w:rFonts w:cs="Times New Roman"/>
          <w:szCs w:val="22"/>
        </w:rPr>
        <w:t>un incremento interanual</w:t>
      </w:r>
      <w:r w:rsidR="002D4A5A">
        <w:rPr>
          <w:rFonts w:cs="Times New Roman"/>
          <w:szCs w:val="22"/>
        </w:rPr>
        <w:t xml:space="preserve"> de</w:t>
      </w:r>
      <w:r w:rsidR="002A6112">
        <w:rPr>
          <w:rFonts w:cs="Times New Roman"/>
          <w:szCs w:val="22"/>
        </w:rPr>
        <w:t>l</w:t>
      </w:r>
      <w:r w:rsidR="002D4A5A">
        <w:rPr>
          <w:rFonts w:cs="Times New Roman"/>
          <w:szCs w:val="22"/>
        </w:rPr>
        <w:t xml:space="preserve"> </w:t>
      </w:r>
      <w:r w:rsidR="009E4292">
        <w:rPr>
          <w:rFonts w:cs="Times New Roman"/>
          <w:szCs w:val="22"/>
        </w:rPr>
        <w:t>25.8</w:t>
      </w:r>
      <w:r w:rsidR="002D4A5A">
        <w:rPr>
          <w:rFonts w:cs="Times New Roman"/>
          <w:szCs w:val="22"/>
        </w:rPr>
        <w:t>% (Q</w:t>
      </w:r>
      <w:r w:rsidR="009E4292">
        <w:rPr>
          <w:rFonts w:cs="Times New Roman"/>
          <w:szCs w:val="22"/>
        </w:rPr>
        <w:t>290</w:t>
      </w:r>
      <w:r w:rsidR="002D4A5A">
        <w:rPr>
          <w:rFonts w:cs="Times New Roman"/>
          <w:szCs w:val="22"/>
        </w:rPr>
        <w:t>.</w:t>
      </w:r>
      <w:r w:rsidR="009E4292">
        <w:rPr>
          <w:rFonts w:cs="Times New Roman"/>
          <w:szCs w:val="22"/>
        </w:rPr>
        <w:t>0</w:t>
      </w:r>
      <w:r w:rsidR="002D4A5A">
        <w:rPr>
          <w:rFonts w:cs="Times New Roman"/>
          <w:szCs w:val="22"/>
        </w:rPr>
        <w:t xml:space="preserve"> millones)</w:t>
      </w:r>
      <w:r w:rsidR="009E4292">
        <w:rPr>
          <w:rFonts w:cs="Times New Roman"/>
          <w:szCs w:val="22"/>
        </w:rPr>
        <w:t>,</w:t>
      </w:r>
      <w:r w:rsidR="00233216">
        <w:rPr>
          <w:rFonts w:cs="Times New Roman"/>
          <w:szCs w:val="22"/>
        </w:rPr>
        <w:t xml:space="preserve"> mientras que </w:t>
      </w:r>
      <w:r w:rsidR="00E12606" w:rsidRPr="004451B4">
        <w:rPr>
          <w:rFonts w:cs="Times New Roman"/>
          <w:szCs w:val="22"/>
        </w:rPr>
        <w:t xml:space="preserve">las contribuciones sociales </w:t>
      </w:r>
      <w:r w:rsidR="00E12606">
        <w:rPr>
          <w:rFonts w:cs="Times New Roman"/>
          <w:szCs w:val="22"/>
        </w:rPr>
        <w:t>tienen</w:t>
      </w:r>
      <w:r w:rsidR="00233216">
        <w:rPr>
          <w:rFonts w:cs="Times New Roman"/>
          <w:szCs w:val="22"/>
        </w:rPr>
        <w:t xml:space="preserve"> una variación positiv</w:t>
      </w:r>
      <w:r w:rsidR="00E12606">
        <w:rPr>
          <w:rFonts w:cs="Times New Roman"/>
          <w:szCs w:val="22"/>
        </w:rPr>
        <w:t>a</w:t>
      </w:r>
      <w:r w:rsidR="00233216">
        <w:rPr>
          <w:rFonts w:cs="Times New Roman"/>
          <w:szCs w:val="22"/>
        </w:rPr>
        <w:t xml:space="preserve"> de</w:t>
      </w:r>
      <w:r w:rsidR="00E12606">
        <w:rPr>
          <w:rFonts w:cs="Times New Roman"/>
          <w:szCs w:val="22"/>
        </w:rPr>
        <w:t>l</w:t>
      </w:r>
      <w:r w:rsidR="00233216">
        <w:rPr>
          <w:rFonts w:cs="Times New Roman"/>
          <w:szCs w:val="22"/>
        </w:rPr>
        <w:t xml:space="preserve"> </w:t>
      </w:r>
      <w:r w:rsidR="007676A3">
        <w:rPr>
          <w:rFonts w:cs="Times New Roman"/>
          <w:szCs w:val="22"/>
        </w:rPr>
        <w:t>2</w:t>
      </w:r>
      <w:r w:rsidR="00781422" w:rsidRPr="004451B4">
        <w:rPr>
          <w:rFonts w:cs="Times New Roman"/>
          <w:szCs w:val="22"/>
        </w:rPr>
        <w:t>.</w:t>
      </w:r>
      <w:r w:rsidR="007676A3">
        <w:rPr>
          <w:rFonts w:cs="Times New Roman"/>
          <w:szCs w:val="22"/>
        </w:rPr>
        <w:t>9</w:t>
      </w:r>
      <w:r w:rsidR="00781422" w:rsidRPr="004451B4">
        <w:rPr>
          <w:rFonts w:cs="Times New Roman"/>
          <w:szCs w:val="22"/>
        </w:rPr>
        <w:t>% (Q</w:t>
      </w:r>
      <w:r w:rsidR="007676A3">
        <w:rPr>
          <w:rFonts w:cs="Times New Roman"/>
          <w:szCs w:val="22"/>
        </w:rPr>
        <w:t>106</w:t>
      </w:r>
      <w:r w:rsidR="00781422" w:rsidRPr="004451B4">
        <w:rPr>
          <w:rFonts w:cs="Times New Roman"/>
          <w:szCs w:val="22"/>
        </w:rPr>
        <w:t>.</w:t>
      </w:r>
      <w:r w:rsidR="0066598D">
        <w:rPr>
          <w:rFonts w:cs="Times New Roman"/>
          <w:szCs w:val="22"/>
        </w:rPr>
        <w:t>1</w:t>
      </w:r>
      <w:r w:rsidR="00781422" w:rsidRPr="004451B4">
        <w:rPr>
          <w:rFonts w:cs="Times New Roman"/>
          <w:szCs w:val="22"/>
        </w:rPr>
        <w:t xml:space="preserve"> millones)</w:t>
      </w:r>
      <w:r w:rsidR="00BC6F93">
        <w:rPr>
          <w:rFonts w:cs="Times New Roman"/>
          <w:szCs w:val="22"/>
        </w:rPr>
        <w:t xml:space="preserve"> y </w:t>
      </w:r>
      <w:r w:rsidR="0066598D">
        <w:rPr>
          <w:rFonts w:cs="Times New Roman"/>
          <w:szCs w:val="22"/>
        </w:rPr>
        <w:t>l</w:t>
      </w:r>
      <w:r w:rsidR="008944F2" w:rsidRPr="004451B4">
        <w:rPr>
          <w:rFonts w:cs="Times New Roman"/>
          <w:szCs w:val="22"/>
        </w:rPr>
        <w:t>as donaciones</w:t>
      </w:r>
      <w:r w:rsidR="00D9288A" w:rsidRPr="004451B4">
        <w:rPr>
          <w:rFonts w:cs="Times New Roman"/>
          <w:szCs w:val="22"/>
        </w:rPr>
        <w:t xml:space="preserve"> </w:t>
      </w:r>
      <w:r w:rsidR="00E0519B">
        <w:rPr>
          <w:rFonts w:cs="Times New Roman"/>
          <w:szCs w:val="22"/>
        </w:rPr>
        <w:t>de</w:t>
      </w:r>
      <w:r w:rsidR="00D9288A" w:rsidRPr="004451B4">
        <w:rPr>
          <w:rFonts w:cs="Times New Roman"/>
          <w:szCs w:val="22"/>
        </w:rPr>
        <w:t xml:space="preserve"> </w:t>
      </w:r>
      <w:r w:rsidR="007676A3">
        <w:rPr>
          <w:rFonts w:cs="Times New Roman"/>
          <w:szCs w:val="22"/>
        </w:rPr>
        <w:t>265.5</w:t>
      </w:r>
      <w:r w:rsidR="00D9288A" w:rsidRPr="004451B4">
        <w:rPr>
          <w:rFonts w:cs="Times New Roman"/>
          <w:szCs w:val="22"/>
        </w:rPr>
        <w:t>% (Q</w:t>
      </w:r>
      <w:r w:rsidR="00E12606">
        <w:rPr>
          <w:rFonts w:cs="Times New Roman"/>
          <w:szCs w:val="22"/>
        </w:rPr>
        <w:t>7</w:t>
      </w:r>
      <w:r w:rsidR="005B07C9">
        <w:rPr>
          <w:rFonts w:cs="Times New Roman"/>
          <w:szCs w:val="22"/>
        </w:rPr>
        <w:t>8.</w:t>
      </w:r>
      <w:r w:rsidR="00E12606">
        <w:rPr>
          <w:rFonts w:cs="Times New Roman"/>
          <w:szCs w:val="22"/>
        </w:rPr>
        <w:t>0</w:t>
      </w:r>
      <w:r w:rsidR="00D9288A" w:rsidRPr="004451B4">
        <w:rPr>
          <w:rFonts w:cs="Times New Roman"/>
          <w:szCs w:val="22"/>
        </w:rPr>
        <w:t xml:space="preserve"> millones)</w:t>
      </w:r>
      <w:r w:rsidR="00E20F42">
        <w:rPr>
          <w:rFonts w:cs="Times New Roman"/>
          <w:szCs w:val="22"/>
        </w:rPr>
        <w:t>.</w:t>
      </w:r>
    </w:p>
    <w:p w14:paraId="781661F0" w14:textId="77777777" w:rsidR="00EA6C6E" w:rsidRPr="00AC1506" w:rsidRDefault="00EA6C6E" w:rsidP="00EC1BCA">
      <w:pPr>
        <w:pStyle w:val="Prrafodelista"/>
        <w:jc w:val="left"/>
      </w:pPr>
    </w:p>
    <w:p w14:paraId="2AF07344" w14:textId="06711384" w:rsidR="00E66A98" w:rsidRPr="00AC1506" w:rsidRDefault="00B50D09" w:rsidP="00EB6D9F">
      <w:pPr>
        <w:pStyle w:val="Ttulo2"/>
        <w:numPr>
          <w:ilvl w:val="1"/>
          <w:numId w:val="11"/>
        </w:numPr>
        <w:tabs>
          <w:tab w:val="left" w:pos="426"/>
        </w:tabs>
        <w:spacing w:before="0"/>
        <w:ind w:left="284" w:hanging="284"/>
        <w:rPr>
          <w:rFonts w:ascii="Times New Roman" w:hAnsi="Times New Roman" w:cs="Times New Roman"/>
          <w:color w:val="auto"/>
          <w:sz w:val="24"/>
        </w:rPr>
      </w:pPr>
      <w:bookmarkStart w:id="48" w:name="_Toc86405397"/>
      <w:r w:rsidRPr="00DC74C2">
        <w:rPr>
          <w:noProof/>
          <w:sz w:val="22"/>
          <w:lang w:eastAsia="es-GT"/>
        </w:rPr>
        <w:drawing>
          <wp:anchor distT="0" distB="0" distL="114300" distR="114300" simplePos="0" relativeHeight="251658244" behindDoc="0" locked="0" layoutInCell="1" allowOverlap="1" wp14:anchorId="63261D0C" wp14:editId="076F1E51">
            <wp:simplePos x="0" y="0"/>
            <wp:positionH relativeFrom="margin">
              <wp:posOffset>3049270</wp:posOffset>
            </wp:positionH>
            <wp:positionV relativeFrom="paragraph">
              <wp:posOffset>250190</wp:posOffset>
            </wp:positionV>
            <wp:extent cx="2912745" cy="3649980"/>
            <wp:effectExtent l="0" t="0" r="1905" b="7620"/>
            <wp:wrapSquare wrapText="bothSides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90A">
        <w:rPr>
          <w:rFonts w:ascii="Times New Roman" w:hAnsi="Times New Roman" w:cs="Times New Roman"/>
          <w:color w:val="auto"/>
          <w:sz w:val="24"/>
        </w:rPr>
        <w:t xml:space="preserve">Los </w:t>
      </w:r>
      <w:r w:rsidR="00962437">
        <w:rPr>
          <w:rFonts w:ascii="Times New Roman" w:hAnsi="Times New Roman" w:cs="Times New Roman"/>
          <w:color w:val="auto"/>
          <w:sz w:val="24"/>
        </w:rPr>
        <w:t>i</w:t>
      </w:r>
      <w:r w:rsidR="0027790A">
        <w:rPr>
          <w:rFonts w:ascii="Times New Roman" w:hAnsi="Times New Roman" w:cs="Times New Roman"/>
          <w:color w:val="auto"/>
          <w:sz w:val="24"/>
        </w:rPr>
        <w:t>mpuestos</w:t>
      </w:r>
      <w:bookmarkEnd w:id="48"/>
      <w:r w:rsidR="0027790A">
        <w:rPr>
          <w:rFonts w:ascii="Times New Roman" w:hAnsi="Times New Roman" w:cs="Times New Roman"/>
          <w:color w:val="auto"/>
          <w:sz w:val="24"/>
        </w:rPr>
        <w:t xml:space="preserve"> </w:t>
      </w:r>
    </w:p>
    <w:p w14:paraId="25A57EC6" w14:textId="09AD3511" w:rsidR="00EA6D15" w:rsidRDefault="003D65BF" w:rsidP="00B304F3">
      <w:pPr>
        <w:pStyle w:val="Prrafodelista"/>
        <w:ind w:left="0"/>
        <w:rPr>
          <w:sz w:val="22"/>
        </w:rPr>
      </w:pPr>
      <w:r>
        <w:rPr>
          <w:sz w:val="22"/>
        </w:rPr>
        <w:t xml:space="preserve">En lo que respecta a </w:t>
      </w:r>
      <w:r w:rsidR="0014145A">
        <w:rPr>
          <w:sz w:val="22"/>
        </w:rPr>
        <w:t xml:space="preserve">la </w:t>
      </w:r>
      <w:r w:rsidR="00E85BBF">
        <w:rPr>
          <w:sz w:val="22"/>
        </w:rPr>
        <w:t xml:space="preserve">recaudación de </w:t>
      </w:r>
      <w:r w:rsidR="006C56DA">
        <w:rPr>
          <w:sz w:val="22"/>
        </w:rPr>
        <w:t>impuestos</w:t>
      </w:r>
      <w:r w:rsidR="00F153ED">
        <w:rPr>
          <w:sz w:val="22"/>
        </w:rPr>
        <w:t xml:space="preserve"> </w:t>
      </w:r>
      <w:r w:rsidR="0014145A">
        <w:rPr>
          <w:sz w:val="22"/>
        </w:rPr>
        <w:t>al finalizar el tercer trimestre de 2021, esta asciende a</w:t>
      </w:r>
      <w:r w:rsidR="00EA776C">
        <w:rPr>
          <w:sz w:val="22"/>
        </w:rPr>
        <w:t xml:space="preserve"> Q</w:t>
      </w:r>
      <w:r w:rsidR="00120FEC">
        <w:rPr>
          <w:sz w:val="22"/>
        </w:rPr>
        <w:t>54</w:t>
      </w:r>
      <w:r w:rsidR="00EA776C">
        <w:rPr>
          <w:sz w:val="22"/>
        </w:rPr>
        <w:t>,</w:t>
      </w:r>
      <w:r w:rsidR="00120FEC">
        <w:rPr>
          <w:sz w:val="22"/>
        </w:rPr>
        <w:t>916</w:t>
      </w:r>
      <w:r w:rsidR="00EA776C">
        <w:rPr>
          <w:sz w:val="22"/>
        </w:rPr>
        <w:t>.</w:t>
      </w:r>
      <w:r w:rsidR="00120FEC">
        <w:rPr>
          <w:sz w:val="22"/>
        </w:rPr>
        <w:t>1</w:t>
      </w:r>
      <w:r w:rsidR="00EA776C">
        <w:rPr>
          <w:sz w:val="22"/>
        </w:rPr>
        <w:t xml:space="preserve"> millones</w:t>
      </w:r>
      <w:r w:rsidR="00B45A0C">
        <w:rPr>
          <w:sz w:val="22"/>
        </w:rPr>
        <w:t xml:space="preserve"> </w:t>
      </w:r>
      <w:r w:rsidR="00120FEC">
        <w:rPr>
          <w:sz w:val="22"/>
        </w:rPr>
        <w:t xml:space="preserve">y siendo este </w:t>
      </w:r>
      <w:r w:rsidR="00EA776C">
        <w:rPr>
          <w:sz w:val="22"/>
        </w:rPr>
        <w:t xml:space="preserve">un </w:t>
      </w:r>
      <w:r w:rsidR="00D3730C">
        <w:rPr>
          <w:sz w:val="22"/>
        </w:rPr>
        <w:t>incremento interanual</w:t>
      </w:r>
      <w:r w:rsidR="00EA776C">
        <w:rPr>
          <w:sz w:val="22"/>
        </w:rPr>
        <w:t xml:space="preserve"> del </w:t>
      </w:r>
      <w:r w:rsidR="00D3730C">
        <w:rPr>
          <w:sz w:val="22"/>
        </w:rPr>
        <w:t>2</w:t>
      </w:r>
      <w:r w:rsidR="00C24627">
        <w:rPr>
          <w:sz w:val="22"/>
        </w:rPr>
        <w:t>9</w:t>
      </w:r>
      <w:r w:rsidR="00D3730C">
        <w:rPr>
          <w:sz w:val="22"/>
        </w:rPr>
        <w:t>.</w:t>
      </w:r>
      <w:r w:rsidR="00B45A0C">
        <w:rPr>
          <w:sz w:val="22"/>
        </w:rPr>
        <w:t>4</w:t>
      </w:r>
      <w:r w:rsidR="00D3730C">
        <w:rPr>
          <w:sz w:val="22"/>
        </w:rPr>
        <w:t>%</w:t>
      </w:r>
      <w:r w:rsidR="00F153ED">
        <w:rPr>
          <w:sz w:val="22"/>
        </w:rPr>
        <w:t xml:space="preserve"> </w:t>
      </w:r>
      <w:r w:rsidR="00D3730C">
        <w:rPr>
          <w:sz w:val="22"/>
        </w:rPr>
        <w:t>(</w:t>
      </w:r>
      <w:r w:rsidR="00EA776C">
        <w:rPr>
          <w:sz w:val="22"/>
        </w:rPr>
        <w:t>Q</w:t>
      </w:r>
      <w:r w:rsidR="00C24627">
        <w:rPr>
          <w:sz w:val="22"/>
        </w:rPr>
        <w:t>12</w:t>
      </w:r>
      <w:r w:rsidR="00EA776C">
        <w:rPr>
          <w:sz w:val="22"/>
        </w:rPr>
        <w:t>,</w:t>
      </w:r>
      <w:r w:rsidR="00C24627">
        <w:rPr>
          <w:sz w:val="22"/>
        </w:rPr>
        <w:t>468</w:t>
      </w:r>
      <w:r w:rsidR="00EA776C">
        <w:rPr>
          <w:sz w:val="22"/>
        </w:rPr>
        <w:t>.</w:t>
      </w:r>
      <w:r w:rsidR="00C24627">
        <w:rPr>
          <w:sz w:val="22"/>
        </w:rPr>
        <w:t>5</w:t>
      </w:r>
      <w:r w:rsidR="00EA776C">
        <w:rPr>
          <w:sz w:val="22"/>
        </w:rPr>
        <w:t xml:space="preserve"> millones</w:t>
      </w:r>
      <w:r w:rsidR="00D3730C">
        <w:rPr>
          <w:sz w:val="22"/>
        </w:rPr>
        <w:t>)</w:t>
      </w:r>
      <w:r w:rsidR="00DC74C2" w:rsidRPr="0060606D">
        <w:rPr>
          <w:sz w:val="22"/>
        </w:rPr>
        <w:t>.</w:t>
      </w:r>
      <w:r w:rsidR="00D3730C">
        <w:rPr>
          <w:sz w:val="22"/>
        </w:rPr>
        <w:t xml:space="preserve"> </w:t>
      </w:r>
      <w:r w:rsidR="00C24627">
        <w:rPr>
          <w:sz w:val="22"/>
        </w:rPr>
        <w:t xml:space="preserve">En esta cuenta, los </w:t>
      </w:r>
      <w:r w:rsidR="00BC279C">
        <w:rPr>
          <w:sz w:val="22"/>
        </w:rPr>
        <w:t>impuestos aplicados</w:t>
      </w:r>
      <w:r w:rsidR="00C24627">
        <w:rPr>
          <w:sz w:val="22"/>
        </w:rPr>
        <w:t xml:space="preserve"> </w:t>
      </w:r>
      <w:r w:rsidR="00E85BBF">
        <w:rPr>
          <w:sz w:val="22"/>
        </w:rPr>
        <w:t xml:space="preserve">sobre </w:t>
      </w:r>
      <w:r w:rsidR="00B304F3">
        <w:rPr>
          <w:sz w:val="22"/>
        </w:rPr>
        <w:t>los bienes y servicios</w:t>
      </w:r>
      <w:r w:rsidR="00787F0D">
        <w:rPr>
          <w:sz w:val="22"/>
        </w:rPr>
        <w:t xml:space="preserve"> </w:t>
      </w:r>
      <w:r w:rsidR="00B304F3">
        <w:rPr>
          <w:sz w:val="22"/>
        </w:rPr>
        <w:t>asciende</w:t>
      </w:r>
      <w:r w:rsidR="007F1151">
        <w:rPr>
          <w:sz w:val="22"/>
        </w:rPr>
        <w:t>n</w:t>
      </w:r>
      <w:r w:rsidR="00B304F3">
        <w:rPr>
          <w:sz w:val="22"/>
        </w:rPr>
        <w:t xml:space="preserve"> </w:t>
      </w:r>
      <w:r w:rsidR="00AD0810">
        <w:rPr>
          <w:sz w:val="22"/>
        </w:rPr>
        <w:t>a Q</w:t>
      </w:r>
      <w:r w:rsidR="0047103C">
        <w:rPr>
          <w:sz w:val="22"/>
        </w:rPr>
        <w:t>32</w:t>
      </w:r>
      <w:r w:rsidR="00AD0810">
        <w:rPr>
          <w:sz w:val="22"/>
        </w:rPr>
        <w:t>,</w:t>
      </w:r>
      <w:r w:rsidR="0047103C">
        <w:rPr>
          <w:sz w:val="22"/>
        </w:rPr>
        <w:t>347</w:t>
      </w:r>
      <w:r w:rsidR="00AC2639">
        <w:rPr>
          <w:sz w:val="22"/>
        </w:rPr>
        <w:t>.</w:t>
      </w:r>
      <w:r w:rsidR="0047103C">
        <w:rPr>
          <w:sz w:val="22"/>
        </w:rPr>
        <w:t>1</w:t>
      </w:r>
      <w:r w:rsidR="00AD0810">
        <w:rPr>
          <w:sz w:val="22"/>
        </w:rPr>
        <w:t xml:space="preserve"> millones</w:t>
      </w:r>
      <w:r w:rsidR="0047103C">
        <w:rPr>
          <w:sz w:val="22"/>
        </w:rPr>
        <w:t xml:space="preserve"> teniendo una</w:t>
      </w:r>
      <w:r w:rsidR="00E0786A">
        <w:rPr>
          <w:sz w:val="22"/>
        </w:rPr>
        <w:t xml:space="preserve"> variación interanual de</w:t>
      </w:r>
      <w:r w:rsidR="0047103C">
        <w:rPr>
          <w:sz w:val="22"/>
        </w:rPr>
        <w:t>l</w:t>
      </w:r>
      <w:r w:rsidR="003338F1">
        <w:rPr>
          <w:sz w:val="22"/>
        </w:rPr>
        <w:t xml:space="preserve"> </w:t>
      </w:r>
      <w:r w:rsidR="00AC2639">
        <w:rPr>
          <w:sz w:val="22"/>
        </w:rPr>
        <w:t>3</w:t>
      </w:r>
      <w:r w:rsidR="00E221A9">
        <w:rPr>
          <w:sz w:val="22"/>
        </w:rPr>
        <w:t>1</w:t>
      </w:r>
      <w:r w:rsidR="003338F1">
        <w:rPr>
          <w:sz w:val="22"/>
        </w:rPr>
        <w:t>.</w:t>
      </w:r>
      <w:r w:rsidR="00E221A9">
        <w:rPr>
          <w:sz w:val="22"/>
        </w:rPr>
        <w:t>3</w:t>
      </w:r>
      <w:r w:rsidR="003338F1">
        <w:rPr>
          <w:sz w:val="22"/>
        </w:rPr>
        <w:t>% (</w:t>
      </w:r>
      <w:r w:rsidR="009B09C5">
        <w:rPr>
          <w:sz w:val="22"/>
        </w:rPr>
        <w:t>Q</w:t>
      </w:r>
      <w:r w:rsidR="00E221A9">
        <w:rPr>
          <w:sz w:val="22"/>
        </w:rPr>
        <w:t>7</w:t>
      </w:r>
      <w:r w:rsidR="009B09C5">
        <w:rPr>
          <w:sz w:val="22"/>
        </w:rPr>
        <w:t>,</w:t>
      </w:r>
      <w:r w:rsidR="00E221A9">
        <w:rPr>
          <w:sz w:val="22"/>
        </w:rPr>
        <w:t>708</w:t>
      </w:r>
      <w:r w:rsidR="00AC2639">
        <w:rPr>
          <w:sz w:val="22"/>
        </w:rPr>
        <w:t>.</w:t>
      </w:r>
      <w:r w:rsidR="00793B3F">
        <w:rPr>
          <w:sz w:val="22"/>
        </w:rPr>
        <w:t>1</w:t>
      </w:r>
      <w:r w:rsidR="009B09C5">
        <w:rPr>
          <w:sz w:val="22"/>
        </w:rPr>
        <w:t xml:space="preserve"> millones)</w:t>
      </w:r>
      <w:r w:rsidR="004671E6">
        <w:rPr>
          <w:sz w:val="22"/>
        </w:rPr>
        <w:t xml:space="preserve"> y </w:t>
      </w:r>
      <w:r w:rsidR="007F1151">
        <w:rPr>
          <w:sz w:val="22"/>
        </w:rPr>
        <w:t>entre los mismo</w:t>
      </w:r>
      <w:r w:rsidR="00AA32B8">
        <w:rPr>
          <w:sz w:val="22"/>
        </w:rPr>
        <w:t>s</w:t>
      </w:r>
      <w:r w:rsidR="007F1151">
        <w:rPr>
          <w:sz w:val="22"/>
        </w:rPr>
        <w:t>, el que mayor sobresale es</w:t>
      </w:r>
      <w:r w:rsidR="004671E6">
        <w:rPr>
          <w:sz w:val="22"/>
        </w:rPr>
        <w:t xml:space="preserve"> </w:t>
      </w:r>
      <w:r w:rsidR="009D1B23">
        <w:rPr>
          <w:sz w:val="22"/>
        </w:rPr>
        <w:t xml:space="preserve">la categoría </w:t>
      </w:r>
      <w:r w:rsidR="00F800D4">
        <w:rPr>
          <w:sz w:val="22"/>
        </w:rPr>
        <w:t>impuestos generales sobre bienes y servicios (IVA)</w:t>
      </w:r>
      <w:r w:rsidR="00D551CA">
        <w:rPr>
          <w:sz w:val="22"/>
        </w:rPr>
        <w:t xml:space="preserve"> el cual tiene una tasa</w:t>
      </w:r>
      <w:r w:rsidR="00AA32B8">
        <w:rPr>
          <w:sz w:val="22"/>
        </w:rPr>
        <w:t xml:space="preserve"> de crecimiento</w:t>
      </w:r>
      <w:r w:rsidR="00D551CA">
        <w:rPr>
          <w:sz w:val="22"/>
        </w:rPr>
        <w:t xml:space="preserve"> del 31.2% </w:t>
      </w:r>
      <w:r w:rsidR="00AA32B8">
        <w:rPr>
          <w:sz w:val="22"/>
        </w:rPr>
        <w:t>(Q6,240 millones)</w:t>
      </w:r>
      <w:r w:rsidR="00D551CA">
        <w:rPr>
          <w:sz w:val="22"/>
        </w:rPr>
        <w:t xml:space="preserve"> </w:t>
      </w:r>
      <w:r w:rsidR="00ED6F01">
        <w:rPr>
          <w:sz w:val="22"/>
        </w:rPr>
        <w:t>respecto a lo observado en 2020</w:t>
      </w:r>
      <w:r w:rsidR="00343A1D">
        <w:rPr>
          <w:sz w:val="22"/>
        </w:rPr>
        <w:t>.</w:t>
      </w:r>
    </w:p>
    <w:p w14:paraId="7E4227BF" w14:textId="4AFBD4A1" w:rsidR="00343A1D" w:rsidRDefault="00343A1D" w:rsidP="00B304F3">
      <w:pPr>
        <w:pStyle w:val="Prrafodelista"/>
        <w:ind w:left="0"/>
        <w:rPr>
          <w:sz w:val="22"/>
        </w:rPr>
      </w:pPr>
    </w:p>
    <w:p w14:paraId="56AF5007" w14:textId="730A986E" w:rsidR="00A15AEB" w:rsidRDefault="00BC279C" w:rsidP="00F55D61">
      <w:r>
        <w:t xml:space="preserve">En </w:t>
      </w:r>
      <w:r w:rsidR="006D32F6">
        <w:t>cuanto a l</w:t>
      </w:r>
      <w:r w:rsidR="007F2F65">
        <w:t>os impuestos sob</w:t>
      </w:r>
      <w:r w:rsidR="006166E9">
        <w:t>r</w:t>
      </w:r>
      <w:r w:rsidR="007F2F65">
        <w:t>e el ingreso, las utilidades y las ganancias de capital</w:t>
      </w:r>
      <w:r w:rsidR="008D0F43">
        <w:t>, al mes de septiembre se observa una r</w:t>
      </w:r>
      <w:r w:rsidR="001F5A10">
        <w:t>ecaudación acumulada de Q</w:t>
      </w:r>
      <w:r w:rsidR="00786E47">
        <w:t>19,560.4</w:t>
      </w:r>
      <w:r w:rsidR="001F5A10">
        <w:t xml:space="preserve"> millones</w:t>
      </w:r>
      <w:r w:rsidR="00D22202">
        <w:t xml:space="preserve"> </w:t>
      </w:r>
      <w:r w:rsidR="00786E47">
        <w:t xml:space="preserve">y esto es </w:t>
      </w:r>
      <w:r w:rsidR="00F87354">
        <w:t>un</w:t>
      </w:r>
      <w:r w:rsidR="005D748F">
        <w:t xml:space="preserve"> </w:t>
      </w:r>
      <w:r w:rsidR="0028513C">
        <w:t xml:space="preserve">crecimiento interanual del </w:t>
      </w:r>
      <w:r w:rsidR="000D2CF4">
        <w:t>23.9</w:t>
      </w:r>
      <w:r w:rsidR="00F02A14">
        <w:t>% (Q</w:t>
      </w:r>
      <w:r w:rsidR="000D2CF4">
        <w:t>3,778.8</w:t>
      </w:r>
      <w:r w:rsidR="00F02A14">
        <w:t xml:space="preserve"> millones</w:t>
      </w:r>
      <w:r w:rsidR="006166E9">
        <w:t>)</w:t>
      </w:r>
      <w:r w:rsidR="00AA32B8">
        <w:t>,</w:t>
      </w:r>
      <w:r w:rsidR="00A54245">
        <w:t xml:space="preserve"> de los cuales </w:t>
      </w:r>
      <w:r w:rsidR="00302799">
        <w:t xml:space="preserve">el impuesto </w:t>
      </w:r>
      <w:r w:rsidR="0041677B">
        <w:t>proveniente</w:t>
      </w:r>
      <w:r w:rsidR="00302799">
        <w:t xml:space="preserve"> </w:t>
      </w:r>
      <w:r w:rsidR="00C67281">
        <w:t xml:space="preserve">de </w:t>
      </w:r>
      <w:r w:rsidR="00302799">
        <w:t>sociedades y otras empresas</w:t>
      </w:r>
      <w:r w:rsidR="00A162E9">
        <w:t xml:space="preserve"> tuvo</w:t>
      </w:r>
      <w:r w:rsidR="0014747D">
        <w:t xml:space="preserve"> </w:t>
      </w:r>
      <w:r w:rsidR="00302799">
        <w:t>una variación interanual acumulada de</w:t>
      </w:r>
      <w:r w:rsidR="00EE1921">
        <w:t>l 2</w:t>
      </w:r>
      <w:r w:rsidR="000D2CF4">
        <w:t>4.8</w:t>
      </w:r>
      <w:r w:rsidR="00EE1921">
        <w:t xml:space="preserve">% </w:t>
      </w:r>
      <w:r w:rsidR="000D2CF4">
        <w:t>(</w:t>
      </w:r>
      <w:r w:rsidR="00EE1921">
        <w:t>Q</w:t>
      </w:r>
      <w:r w:rsidR="000D2CF4">
        <w:t>3</w:t>
      </w:r>
      <w:r w:rsidR="00EE1921">
        <w:t>,</w:t>
      </w:r>
      <w:r w:rsidR="008D5342">
        <w:t>410</w:t>
      </w:r>
      <w:r w:rsidR="00EE1921">
        <w:t>.</w:t>
      </w:r>
      <w:r w:rsidR="008D5342">
        <w:t>4</w:t>
      </w:r>
      <w:r w:rsidR="00EE1921">
        <w:t xml:space="preserve"> millones</w:t>
      </w:r>
      <w:r w:rsidR="00E0519B">
        <w:t>)</w:t>
      </w:r>
      <w:r w:rsidR="00CE53F2">
        <w:t xml:space="preserve"> y los pagaderos por personas físicas del </w:t>
      </w:r>
      <w:r w:rsidR="00F651B3">
        <w:t>1</w:t>
      </w:r>
      <w:r w:rsidR="002A052B">
        <w:t>8</w:t>
      </w:r>
      <w:r w:rsidR="00F651B3">
        <w:t>.</w:t>
      </w:r>
      <w:r w:rsidR="002A052B">
        <w:t>0</w:t>
      </w:r>
      <w:r w:rsidR="00F651B3">
        <w:t>% (</w:t>
      </w:r>
      <w:r w:rsidR="0014747D">
        <w:t>Q</w:t>
      </w:r>
      <w:r w:rsidR="002A052B">
        <w:t>368</w:t>
      </w:r>
      <w:r w:rsidR="00F651B3">
        <w:t>.</w:t>
      </w:r>
      <w:r w:rsidR="002A052B">
        <w:t>4</w:t>
      </w:r>
      <w:r w:rsidR="00F651B3">
        <w:t xml:space="preserve"> millones)</w:t>
      </w:r>
      <w:r w:rsidR="00EE1921">
        <w:t>.</w:t>
      </w:r>
    </w:p>
    <w:p w14:paraId="50A532A4" w14:textId="6C949AA3" w:rsidR="009D7455" w:rsidRDefault="009D7455" w:rsidP="00F55D61"/>
    <w:p w14:paraId="4F24A231" w14:textId="4CDFCB5C" w:rsidR="00DC178E" w:rsidRDefault="00B50D09" w:rsidP="006B682E">
      <w:r>
        <w:t xml:space="preserve">Por su parte, </w:t>
      </w:r>
      <w:r w:rsidR="00544E4C">
        <w:t xml:space="preserve">los </w:t>
      </w:r>
      <w:r w:rsidR="00544E4C" w:rsidRPr="00153096">
        <w:t>impuestos</w:t>
      </w:r>
      <w:r w:rsidR="00AD6572" w:rsidRPr="00153096">
        <w:t xml:space="preserve"> sobre el comercio y las transacciones internacionales</w:t>
      </w:r>
      <w:r w:rsidR="00102276" w:rsidRPr="00153096">
        <w:t xml:space="preserve"> </w:t>
      </w:r>
      <w:r>
        <w:t xml:space="preserve">muestran </w:t>
      </w:r>
      <w:r w:rsidR="00102276" w:rsidRPr="00153096">
        <w:t>una recaudación de</w:t>
      </w:r>
      <w:r w:rsidR="00071109" w:rsidRPr="00153096">
        <w:t xml:space="preserve"> Q</w:t>
      </w:r>
      <w:r w:rsidR="00BD71DC">
        <w:t>2,615.6</w:t>
      </w:r>
      <w:r w:rsidR="00071109" w:rsidRPr="00153096">
        <w:t xml:space="preserve"> millones</w:t>
      </w:r>
      <w:r w:rsidR="00AA32B8">
        <w:t>,</w:t>
      </w:r>
      <w:r w:rsidR="00BD71DC">
        <w:t xml:space="preserve"> el cual </w:t>
      </w:r>
      <w:r w:rsidR="00AA32B8">
        <w:t>muestra</w:t>
      </w:r>
      <w:r w:rsidR="00BD71DC">
        <w:t xml:space="preserve"> una variación</w:t>
      </w:r>
      <w:r w:rsidR="00071109" w:rsidRPr="00153096">
        <w:t xml:space="preserve"> interanual del </w:t>
      </w:r>
      <w:r w:rsidR="003D7B4C">
        <w:t>48.6</w:t>
      </w:r>
      <w:r w:rsidR="007170CB" w:rsidRPr="00153096">
        <w:t>% (Q</w:t>
      </w:r>
      <w:r w:rsidR="003D7B4C">
        <w:t>855</w:t>
      </w:r>
      <w:r w:rsidR="00153096" w:rsidRPr="00153096">
        <w:t>.</w:t>
      </w:r>
      <w:r w:rsidR="003D7B4C">
        <w:t>0</w:t>
      </w:r>
      <w:r w:rsidR="007170CB" w:rsidRPr="00153096">
        <w:t xml:space="preserve"> millones)</w:t>
      </w:r>
      <w:r w:rsidR="00AA32B8">
        <w:t xml:space="preserve"> con respecto al año previo</w:t>
      </w:r>
      <w:r w:rsidR="00CA5924">
        <w:t xml:space="preserve"> </w:t>
      </w:r>
      <w:r w:rsidR="00324F54">
        <w:t xml:space="preserve">y siendo el </w:t>
      </w:r>
      <w:r w:rsidR="00E753D2">
        <w:t>más</w:t>
      </w:r>
      <w:r w:rsidR="00324F54">
        <w:t xml:space="preserve"> destacable, los </w:t>
      </w:r>
      <w:r w:rsidR="00DC178E">
        <w:t>derechos de aduanas y otros derechos</w:t>
      </w:r>
      <w:r w:rsidR="003455A3">
        <w:t xml:space="preserve"> </w:t>
      </w:r>
      <w:r w:rsidR="00DC178E">
        <w:t xml:space="preserve">de importación </w:t>
      </w:r>
      <w:r w:rsidR="00E753D2">
        <w:t>(</w:t>
      </w:r>
      <w:r w:rsidR="00E0491A">
        <w:t xml:space="preserve">contiene el </w:t>
      </w:r>
      <w:r w:rsidR="00E753D2">
        <w:t>DAI)</w:t>
      </w:r>
      <w:r w:rsidR="00324F54">
        <w:t xml:space="preserve"> </w:t>
      </w:r>
      <w:r w:rsidR="00A5481C">
        <w:t>con</w:t>
      </w:r>
      <w:r w:rsidR="00324F54">
        <w:t xml:space="preserve"> un crecimiento</w:t>
      </w:r>
      <w:r w:rsidR="00AA32B8">
        <w:t xml:space="preserve"> interanual</w:t>
      </w:r>
      <w:r w:rsidR="00324F54">
        <w:t xml:space="preserve"> del </w:t>
      </w:r>
      <w:r w:rsidR="00E753D2">
        <w:t>48.8% (Q809.3 millones)</w:t>
      </w:r>
      <w:r w:rsidR="009E74F4">
        <w:t xml:space="preserve">. </w:t>
      </w:r>
    </w:p>
    <w:p w14:paraId="002F4C75" w14:textId="77777777" w:rsidR="00DC178E" w:rsidRDefault="00DC178E" w:rsidP="006B682E"/>
    <w:p w14:paraId="7DA4567A" w14:textId="39DEA748" w:rsidR="00477C22" w:rsidRDefault="00B65AEC" w:rsidP="006B682E">
      <w:r>
        <w:t>L</w:t>
      </w:r>
      <w:r w:rsidR="00F11A28">
        <w:t>a categoría de otros impuestos</w:t>
      </w:r>
      <w:r w:rsidR="001B1571">
        <w:t xml:space="preserve"> (contiene </w:t>
      </w:r>
      <w:r w:rsidR="008C1BC5">
        <w:t>Timbres Fiscales)</w:t>
      </w:r>
      <w:r w:rsidR="00477C22">
        <w:t xml:space="preserve"> </w:t>
      </w:r>
      <w:r w:rsidR="00F11A28">
        <w:t xml:space="preserve">asciende a </w:t>
      </w:r>
      <w:r w:rsidR="0014747D">
        <w:t>Q</w:t>
      </w:r>
      <w:r w:rsidR="00EF7C1C">
        <w:t>375</w:t>
      </w:r>
      <w:r w:rsidR="00E602E2">
        <w:t>.</w:t>
      </w:r>
      <w:r w:rsidR="00A5481C">
        <w:t>1</w:t>
      </w:r>
      <w:r w:rsidR="00E602E2">
        <w:t xml:space="preserve"> millones con una variación interanual del </w:t>
      </w:r>
      <w:r w:rsidR="00A5481C">
        <w:t>45.1</w:t>
      </w:r>
      <w:r w:rsidR="00E602E2">
        <w:t>% (Q</w:t>
      </w:r>
      <w:r w:rsidR="00A5481C">
        <w:t>1</w:t>
      </w:r>
      <w:r w:rsidR="00FA0F2D">
        <w:t>1</w:t>
      </w:r>
      <w:r w:rsidR="00C50414">
        <w:t>6.</w:t>
      </w:r>
      <w:r w:rsidR="00A5481C">
        <w:t>6</w:t>
      </w:r>
      <w:r w:rsidR="002E350E">
        <w:t xml:space="preserve"> millones) mientras que </w:t>
      </w:r>
      <w:r w:rsidR="00477C22">
        <w:t xml:space="preserve">los impuestos </w:t>
      </w:r>
      <w:r w:rsidR="00066095">
        <w:t>sobre la propiedad</w:t>
      </w:r>
      <w:r w:rsidR="00D20A4A">
        <w:t xml:space="preserve"> ascienden a un total de Q</w:t>
      </w:r>
      <w:r w:rsidR="0072540F">
        <w:t>17</w:t>
      </w:r>
      <w:r w:rsidR="001012BA">
        <w:t>.9</w:t>
      </w:r>
      <w:r w:rsidR="00D20A4A">
        <w:t xml:space="preserve"> millones con una variación interanual del </w:t>
      </w:r>
      <w:r w:rsidR="001012BA">
        <w:t>127</w:t>
      </w:r>
      <w:r w:rsidR="00D20A4A">
        <w:t>.</w:t>
      </w:r>
      <w:r w:rsidR="0013422C">
        <w:t>0</w:t>
      </w:r>
      <w:r w:rsidR="00D20A4A">
        <w:t>% (Q</w:t>
      </w:r>
      <w:r w:rsidR="0013422C">
        <w:t>10.0</w:t>
      </w:r>
      <w:r w:rsidR="00D20A4A">
        <w:t xml:space="preserve"> millones)</w:t>
      </w:r>
      <w:r w:rsidR="00AA32B8">
        <w:t xml:space="preserve"> con respecto al año previo</w:t>
      </w:r>
      <w:r w:rsidR="002E350E">
        <w:t>.</w:t>
      </w:r>
    </w:p>
    <w:p w14:paraId="2F8B2438" w14:textId="736D3C38" w:rsidR="00E66A98" w:rsidRPr="00AC1506" w:rsidRDefault="00E66A98" w:rsidP="00E66A98">
      <w:pPr>
        <w:pStyle w:val="Prrafodelista"/>
        <w:numPr>
          <w:ilvl w:val="0"/>
          <w:numId w:val="32"/>
        </w:numPr>
        <w:outlineLvl w:val="2"/>
        <w:rPr>
          <w:rFonts w:cs="Times New Roman"/>
          <w:b/>
          <w:vanish/>
          <w:lang w:val="es-MX"/>
        </w:rPr>
      </w:pPr>
      <w:bookmarkStart w:id="49" w:name="_Toc31612759"/>
      <w:bookmarkStart w:id="50" w:name="_Toc31612791"/>
      <w:bookmarkStart w:id="51" w:name="_Toc31614817"/>
      <w:bookmarkStart w:id="52" w:name="_Toc31614849"/>
      <w:bookmarkStart w:id="53" w:name="_Toc31618686"/>
      <w:bookmarkStart w:id="54" w:name="_Toc31618719"/>
      <w:bookmarkStart w:id="55" w:name="_Toc31624495"/>
      <w:bookmarkStart w:id="56" w:name="_Toc31625347"/>
      <w:bookmarkStart w:id="57" w:name="_Toc31626802"/>
      <w:bookmarkStart w:id="58" w:name="_Toc31811253"/>
      <w:bookmarkStart w:id="59" w:name="_Toc31811698"/>
      <w:bookmarkStart w:id="60" w:name="_Toc31971861"/>
      <w:bookmarkStart w:id="61" w:name="_Toc32230883"/>
      <w:bookmarkStart w:id="62" w:name="_Toc33109782"/>
      <w:bookmarkStart w:id="63" w:name="_Toc33109825"/>
      <w:bookmarkStart w:id="64" w:name="_Toc33180546"/>
      <w:bookmarkStart w:id="65" w:name="_Toc33180640"/>
      <w:bookmarkStart w:id="66" w:name="_Toc33193537"/>
      <w:bookmarkStart w:id="67" w:name="_Toc33193576"/>
      <w:bookmarkStart w:id="68" w:name="_Toc33196773"/>
      <w:bookmarkStart w:id="69" w:name="_Toc40691749"/>
      <w:bookmarkStart w:id="70" w:name="_Toc40959152"/>
      <w:bookmarkStart w:id="71" w:name="_Toc40975986"/>
      <w:bookmarkStart w:id="72" w:name="_Toc40976055"/>
      <w:bookmarkStart w:id="73" w:name="_Toc40993310"/>
      <w:bookmarkStart w:id="74" w:name="_Toc40993692"/>
      <w:bookmarkStart w:id="75" w:name="_Toc41037568"/>
      <w:bookmarkStart w:id="76" w:name="_Toc41254128"/>
      <w:bookmarkStart w:id="77" w:name="_Toc41254160"/>
      <w:bookmarkStart w:id="78" w:name="_Toc41254180"/>
      <w:bookmarkStart w:id="79" w:name="_Toc42023953"/>
      <w:bookmarkStart w:id="80" w:name="_Toc42024006"/>
      <w:bookmarkStart w:id="81" w:name="_Toc42069104"/>
      <w:bookmarkStart w:id="82" w:name="_Toc49422050"/>
      <w:bookmarkStart w:id="83" w:name="_Toc49422076"/>
      <w:bookmarkStart w:id="84" w:name="_Toc49430655"/>
      <w:bookmarkStart w:id="85" w:name="_Toc49430681"/>
      <w:bookmarkStart w:id="86" w:name="_Toc49750458"/>
      <w:bookmarkStart w:id="87" w:name="_Toc49750708"/>
      <w:bookmarkStart w:id="88" w:name="_Toc49750736"/>
      <w:bookmarkStart w:id="89" w:name="_Toc55284822"/>
      <w:bookmarkStart w:id="90" w:name="_Toc55298840"/>
      <w:bookmarkStart w:id="91" w:name="_Toc55373821"/>
      <w:bookmarkStart w:id="92" w:name="_Toc55373994"/>
      <w:bookmarkStart w:id="93" w:name="_Toc55375131"/>
      <w:bookmarkStart w:id="94" w:name="_Toc55396539"/>
      <w:bookmarkStart w:id="95" w:name="_Toc65230535"/>
      <w:bookmarkStart w:id="96" w:name="_Toc65230773"/>
      <w:bookmarkStart w:id="97" w:name="_Toc65232057"/>
      <w:bookmarkStart w:id="98" w:name="_Toc65232302"/>
      <w:bookmarkStart w:id="99" w:name="_Toc66716161"/>
      <w:bookmarkStart w:id="100" w:name="_Toc71097206"/>
      <w:bookmarkStart w:id="101" w:name="_Toc71097237"/>
      <w:bookmarkStart w:id="102" w:name="_Toc71097312"/>
      <w:bookmarkStart w:id="103" w:name="_Toc71108052"/>
      <w:bookmarkStart w:id="104" w:name="_Toc79055246"/>
      <w:bookmarkStart w:id="105" w:name="_Toc79055277"/>
      <w:bookmarkStart w:id="106" w:name="_Toc79060168"/>
      <w:bookmarkStart w:id="107" w:name="_Toc79060455"/>
      <w:bookmarkStart w:id="108" w:name="_Toc81307812"/>
      <w:bookmarkStart w:id="109" w:name="_Toc83376473"/>
      <w:bookmarkStart w:id="110" w:name="_Toc86386712"/>
      <w:bookmarkStart w:id="111" w:name="_Toc8640539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p w14:paraId="07F93F28" w14:textId="77777777" w:rsidR="00E66A98" w:rsidRPr="00AC1506" w:rsidRDefault="00E66A98" w:rsidP="00E66A98">
      <w:pPr>
        <w:pStyle w:val="Prrafodelista"/>
        <w:numPr>
          <w:ilvl w:val="1"/>
          <w:numId w:val="32"/>
        </w:numPr>
        <w:outlineLvl w:val="2"/>
        <w:rPr>
          <w:rFonts w:cs="Times New Roman"/>
          <w:b/>
          <w:vanish/>
          <w:lang w:val="es-MX"/>
        </w:rPr>
      </w:pPr>
      <w:bookmarkStart w:id="112" w:name="_Toc31612760"/>
      <w:bookmarkStart w:id="113" w:name="_Toc31612792"/>
      <w:bookmarkStart w:id="114" w:name="_Toc31614818"/>
      <w:bookmarkStart w:id="115" w:name="_Toc31614850"/>
      <w:bookmarkStart w:id="116" w:name="_Toc31618687"/>
      <w:bookmarkStart w:id="117" w:name="_Toc31618720"/>
      <w:bookmarkStart w:id="118" w:name="_Toc31624496"/>
      <w:bookmarkStart w:id="119" w:name="_Toc31625348"/>
      <w:bookmarkStart w:id="120" w:name="_Toc31626803"/>
      <w:bookmarkStart w:id="121" w:name="_Toc31811254"/>
      <w:bookmarkStart w:id="122" w:name="_Toc31811699"/>
      <w:bookmarkStart w:id="123" w:name="_Toc31971862"/>
      <w:bookmarkStart w:id="124" w:name="_Toc32230884"/>
      <w:bookmarkStart w:id="125" w:name="_Toc33109783"/>
      <w:bookmarkStart w:id="126" w:name="_Toc33109826"/>
      <w:bookmarkStart w:id="127" w:name="_Toc33180547"/>
      <w:bookmarkStart w:id="128" w:name="_Toc33180641"/>
      <w:bookmarkStart w:id="129" w:name="_Toc33193538"/>
      <w:bookmarkStart w:id="130" w:name="_Toc33193577"/>
      <w:bookmarkStart w:id="131" w:name="_Toc33196774"/>
      <w:bookmarkStart w:id="132" w:name="_Toc40691750"/>
      <w:bookmarkStart w:id="133" w:name="_Toc40959153"/>
      <w:bookmarkStart w:id="134" w:name="_Toc40975987"/>
      <w:bookmarkStart w:id="135" w:name="_Toc40976056"/>
      <w:bookmarkStart w:id="136" w:name="_Toc40993311"/>
      <w:bookmarkStart w:id="137" w:name="_Toc40993693"/>
      <w:bookmarkStart w:id="138" w:name="_Toc41037569"/>
      <w:bookmarkStart w:id="139" w:name="_Toc41254129"/>
      <w:bookmarkStart w:id="140" w:name="_Toc41254161"/>
      <w:bookmarkStart w:id="141" w:name="_Toc41254181"/>
      <w:bookmarkStart w:id="142" w:name="_Toc42023954"/>
      <w:bookmarkStart w:id="143" w:name="_Toc42024007"/>
      <w:bookmarkStart w:id="144" w:name="_Toc42069105"/>
      <w:bookmarkStart w:id="145" w:name="_Toc49422051"/>
      <w:bookmarkStart w:id="146" w:name="_Toc49422077"/>
      <w:bookmarkStart w:id="147" w:name="_Toc49430656"/>
      <w:bookmarkStart w:id="148" w:name="_Toc49430682"/>
      <w:bookmarkStart w:id="149" w:name="_Toc49750459"/>
      <w:bookmarkStart w:id="150" w:name="_Toc49750709"/>
      <w:bookmarkStart w:id="151" w:name="_Toc49750737"/>
      <w:bookmarkStart w:id="152" w:name="_Toc55284823"/>
      <w:bookmarkStart w:id="153" w:name="_Toc55298841"/>
      <w:bookmarkStart w:id="154" w:name="_Toc55373822"/>
      <w:bookmarkStart w:id="155" w:name="_Toc55373995"/>
      <w:bookmarkStart w:id="156" w:name="_Toc55375132"/>
      <w:bookmarkStart w:id="157" w:name="_Toc55396540"/>
      <w:bookmarkStart w:id="158" w:name="_Toc65230536"/>
      <w:bookmarkStart w:id="159" w:name="_Toc65230774"/>
      <w:bookmarkStart w:id="160" w:name="_Toc65232058"/>
      <w:bookmarkStart w:id="161" w:name="_Toc65232303"/>
      <w:bookmarkStart w:id="162" w:name="_Toc66716162"/>
      <w:bookmarkStart w:id="163" w:name="_Toc71097207"/>
      <w:bookmarkStart w:id="164" w:name="_Toc71097238"/>
      <w:bookmarkStart w:id="165" w:name="_Toc71097313"/>
      <w:bookmarkStart w:id="166" w:name="_Toc71108053"/>
      <w:bookmarkStart w:id="167" w:name="_Toc79055247"/>
      <w:bookmarkStart w:id="168" w:name="_Toc79055278"/>
      <w:bookmarkStart w:id="169" w:name="_Toc79060169"/>
      <w:bookmarkStart w:id="170" w:name="_Toc79060456"/>
      <w:bookmarkStart w:id="171" w:name="_Toc81307813"/>
      <w:bookmarkStart w:id="172" w:name="_Toc83376474"/>
      <w:bookmarkStart w:id="173" w:name="_Toc86386713"/>
      <w:bookmarkStart w:id="174" w:name="_Toc86405399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</w:p>
    <w:p w14:paraId="7FF88797" w14:textId="77777777" w:rsidR="00E66A98" w:rsidRPr="00AC1506" w:rsidRDefault="00E66A98" w:rsidP="00E66A98">
      <w:pPr>
        <w:pStyle w:val="Prrafodelista"/>
        <w:numPr>
          <w:ilvl w:val="1"/>
          <w:numId w:val="32"/>
        </w:numPr>
        <w:outlineLvl w:val="2"/>
        <w:rPr>
          <w:rFonts w:cs="Times New Roman"/>
          <w:b/>
          <w:vanish/>
          <w:lang w:val="es-MX"/>
        </w:rPr>
      </w:pPr>
      <w:bookmarkStart w:id="175" w:name="_Toc31612761"/>
      <w:bookmarkStart w:id="176" w:name="_Toc31612793"/>
      <w:bookmarkStart w:id="177" w:name="_Toc31614819"/>
      <w:bookmarkStart w:id="178" w:name="_Toc31614851"/>
      <w:bookmarkStart w:id="179" w:name="_Toc31618688"/>
      <w:bookmarkStart w:id="180" w:name="_Toc31618721"/>
      <w:bookmarkStart w:id="181" w:name="_Toc31624497"/>
      <w:bookmarkStart w:id="182" w:name="_Toc31625349"/>
      <w:bookmarkStart w:id="183" w:name="_Toc31626804"/>
      <w:bookmarkStart w:id="184" w:name="_Toc31811255"/>
      <w:bookmarkStart w:id="185" w:name="_Toc31811700"/>
      <w:bookmarkStart w:id="186" w:name="_Toc31971863"/>
      <w:bookmarkStart w:id="187" w:name="_Toc32230885"/>
      <w:bookmarkStart w:id="188" w:name="_Toc33109784"/>
      <w:bookmarkStart w:id="189" w:name="_Toc33109827"/>
      <w:bookmarkStart w:id="190" w:name="_Toc33180548"/>
      <w:bookmarkStart w:id="191" w:name="_Toc33180642"/>
      <w:bookmarkStart w:id="192" w:name="_Toc33193539"/>
      <w:bookmarkStart w:id="193" w:name="_Toc33193578"/>
      <w:bookmarkStart w:id="194" w:name="_Toc33196775"/>
      <w:bookmarkStart w:id="195" w:name="_Toc40691751"/>
      <w:bookmarkStart w:id="196" w:name="_Toc40959154"/>
      <w:bookmarkStart w:id="197" w:name="_Toc40975988"/>
      <w:bookmarkStart w:id="198" w:name="_Toc40976057"/>
      <w:bookmarkStart w:id="199" w:name="_Toc40993312"/>
      <w:bookmarkStart w:id="200" w:name="_Toc40993694"/>
      <w:bookmarkStart w:id="201" w:name="_Toc41037570"/>
      <w:bookmarkStart w:id="202" w:name="_Toc41254130"/>
      <w:bookmarkStart w:id="203" w:name="_Toc41254162"/>
      <w:bookmarkStart w:id="204" w:name="_Toc41254182"/>
      <w:bookmarkStart w:id="205" w:name="_Toc42023955"/>
      <w:bookmarkStart w:id="206" w:name="_Toc42024008"/>
      <w:bookmarkStart w:id="207" w:name="_Toc42069106"/>
      <w:bookmarkStart w:id="208" w:name="_Toc49422052"/>
      <w:bookmarkStart w:id="209" w:name="_Toc49422078"/>
      <w:bookmarkStart w:id="210" w:name="_Toc49430657"/>
      <w:bookmarkStart w:id="211" w:name="_Toc49430683"/>
      <w:bookmarkStart w:id="212" w:name="_Toc49750460"/>
      <w:bookmarkStart w:id="213" w:name="_Toc49750710"/>
      <w:bookmarkStart w:id="214" w:name="_Toc49750738"/>
      <w:bookmarkStart w:id="215" w:name="_Toc55284824"/>
      <w:bookmarkStart w:id="216" w:name="_Toc55298842"/>
      <w:bookmarkStart w:id="217" w:name="_Toc55373823"/>
      <w:bookmarkStart w:id="218" w:name="_Toc55373996"/>
      <w:bookmarkStart w:id="219" w:name="_Toc55375133"/>
      <w:bookmarkStart w:id="220" w:name="_Toc55396541"/>
      <w:bookmarkStart w:id="221" w:name="_Toc65230537"/>
      <w:bookmarkStart w:id="222" w:name="_Toc65230775"/>
      <w:bookmarkStart w:id="223" w:name="_Toc65232059"/>
      <w:bookmarkStart w:id="224" w:name="_Toc65232304"/>
      <w:bookmarkStart w:id="225" w:name="_Toc66716163"/>
      <w:bookmarkStart w:id="226" w:name="_Toc71097208"/>
      <w:bookmarkStart w:id="227" w:name="_Toc71097239"/>
      <w:bookmarkStart w:id="228" w:name="_Toc71097314"/>
      <w:bookmarkStart w:id="229" w:name="_Toc71108054"/>
      <w:bookmarkStart w:id="230" w:name="_Toc79055248"/>
      <w:bookmarkStart w:id="231" w:name="_Toc79055279"/>
      <w:bookmarkStart w:id="232" w:name="_Toc79060170"/>
      <w:bookmarkStart w:id="233" w:name="_Toc79060457"/>
      <w:bookmarkStart w:id="234" w:name="_Toc81307814"/>
      <w:bookmarkStart w:id="235" w:name="_Toc83376475"/>
      <w:bookmarkStart w:id="236" w:name="_Toc86386714"/>
      <w:bookmarkStart w:id="237" w:name="_Toc86405400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</w:p>
    <w:p w14:paraId="6FAA4490" w14:textId="5F5B6E6D" w:rsidR="008C0B31" w:rsidRPr="00AC1506" w:rsidRDefault="008C0B31" w:rsidP="00BC50A6">
      <w:pPr>
        <w:pStyle w:val="Prrafodelista"/>
        <w:numPr>
          <w:ilvl w:val="0"/>
          <w:numId w:val="1"/>
        </w:numPr>
        <w:ind w:left="426" w:hanging="426"/>
        <w:outlineLvl w:val="0"/>
        <w:rPr>
          <w:rFonts w:eastAsiaTheme="majorEastAsia" w:cs="Times New Roman"/>
          <w:b/>
          <w:bCs/>
          <w:sz w:val="24"/>
          <w:szCs w:val="26"/>
          <w:lang w:val="es-ES_tradnl" w:eastAsia="es-ES"/>
        </w:rPr>
      </w:pPr>
      <w:bookmarkStart w:id="238" w:name="_Toc86405401"/>
      <w:r w:rsidRPr="00AC1506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t>Gasto Público</w:t>
      </w:r>
      <w:r w:rsidR="00CE4BA6" w:rsidRPr="00AC1506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t xml:space="preserve"> del Gobierno Central Presupuestario</w:t>
      </w:r>
      <w:bookmarkEnd w:id="238"/>
    </w:p>
    <w:p w14:paraId="51A82E17" w14:textId="6CB1A785" w:rsidR="0039614C" w:rsidRDefault="0039614C" w:rsidP="00B57C32">
      <w:pPr>
        <w:rPr>
          <w:rFonts w:eastAsiaTheme="majorEastAsia" w:cs="Times New Roman"/>
          <w:b/>
          <w:bCs/>
          <w:sz w:val="24"/>
          <w:szCs w:val="26"/>
          <w:lang w:val="es-ES_tradnl"/>
        </w:rPr>
      </w:pPr>
      <w:r w:rsidRPr="00AC1506">
        <w:rPr>
          <w:rFonts w:eastAsiaTheme="majorEastAsia"/>
          <w:noProof/>
          <w:lang w:eastAsia="es-GT"/>
        </w:rPr>
        <w:drawing>
          <wp:inline distT="0" distB="0" distL="0" distR="0" wp14:anchorId="75D3D81E" wp14:editId="624F638C">
            <wp:extent cx="5836920" cy="948520"/>
            <wp:effectExtent l="76200" t="57150" r="87630" b="42545"/>
            <wp:docPr id="12" name="Diagrama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72153721" w14:textId="2133B95B" w:rsidR="00770433" w:rsidRPr="00AC1506" w:rsidRDefault="00770433" w:rsidP="00770433">
      <w:pPr>
        <w:pStyle w:val="Prrafodelista"/>
        <w:keepNext/>
        <w:keepLines/>
        <w:numPr>
          <w:ilvl w:val="0"/>
          <w:numId w:val="12"/>
        </w:numPr>
        <w:spacing w:before="20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val="es-ES_tradnl" w:eastAsia="es-ES"/>
        </w:rPr>
      </w:pPr>
      <w:bookmarkStart w:id="239" w:name="_Toc471986932"/>
      <w:bookmarkStart w:id="240" w:name="_Toc471987067"/>
      <w:bookmarkStart w:id="241" w:name="_Toc471987115"/>
      <w:bookmarkStart w:id="242" w:name="_Toc471987137"/>
      <w:bookmarkStart w:id="243" w:name="_Toc472082165"/>
      <w:bookmarkStart w:id="244" w:name="_Toc472082197"/>
      <w:bookmarkStart w:id="245" w:name="_Toc472089913"/>
      <w:bookmarkStart w:id="246" w:name="_Toc472089936"/>
      <w:bookmarkStart w:id="247" w:name="_Toc505346063"/>
      <w:bookmarkStart w:id="248" w:name="_Toc505349878"/>
      <w:bookmarkStart w:id="249" w:name="_Toc534985836"/>
      <w:bookmarkStart w:id="250" w:name="_Toc534988229"/>
      <w:bookmarkStart w:id="251" w:name="_Toc31611549"/>
      <w:bookmarkStart w:id="252" w:name="_Toc31612768"/>
      <w:bookmarkStart w:id="253" w:name="_Toc31612800"/>
      <w:bookmarkStart w:id="254" w:name="_Toc31614826"/>
      <w:bookmarkStart w:id="255" w:name="_Toc31614858"/>
      <w:bookmarkStart w:id="256" w:name="_Toc31618695"/>
      <w:bookmarkStart w:id="257" w:name="_Toc31618728"/>
      <w:bookmarkStart w:id="258" w:name="_Toc31624504"/>
      <w:bookmarkStart w:id="259" w:name="_Toc31625356"/>
      <w:bookmarkStart w:id="260" w:name="_Toc31626811"/>
      <w:bookmarkStart w:id="261" w:name="_Toc31811262"/>
      <w:bookmarkStart w:id="262" w:name="_Toc31811707"/>
      <w:bookmarkStart w:id="263" w:name="_Toc31971870"/>
      <w:bookmarkStart w:id="264" w:name="_Toc32230892"/>
      <w:bookmarkStart w:id="265" w:name="_Toc33109788"/>
      <w:bookmarkStart w:id="266" w:name="_Toc33109831"/>
      <w:bookmarkStart w:id="267" w:name="_Toc33180552"/>
      <w:bookmarkStart w:id="268" w:name="_Toc33180646"/>
      <w:bookmarkStart w:id="269" w:name="_Toc33193543"/>
      <w:bookmarkStart w:id="270" w:name="_Toc33193582"/>
      <w:bookmarkStart w:id="271" w:name="_Toc33196779"/>
      <w:bookmarkStart w:id="272" w:name="_Toc40691755"/>
      <w:bookmarkStart w:id="273" w:name="_Toc40959156"/>
      <w:bookmarkStart w:id="274" w:name="_Toc40975990"/>
      <w:bookmarkStart w:id="275" w:name="_Toc40976059"/>
      <w:bookmarkStart w:id="276" w:name="_Toc40993314"/>
      <w:bookmarkStart w:id="277" w:name="_Toc40993696"/>
      <w:bookmarkStart w:id="278" w:name="_Toc41037572"/>
      <w:bookmarkStart w:id="279" w:name="_Toc41254132"/>
      <w:bookmarkStart w:id="280" w:name="_Toc41254164"/>
      <w:bookmarkStart w:id="281" w:name="_Toc41254184"/>
      <w:bookmarkStart w:id="282" w:name="_Toc42023958"/>
      <w:bookmarkStart w:id="283" w:name="_Toc42024010"/>
      <w:bookmarkStart w:id="284" w:name="_Toc42069108"/>
      <w:bookmarkStart w:id="285" w:name="_Toc49422054"/>
      <w:bookmarkStart w:id="286" w:name="_Toc49422080"/>
      <w:bookmarkStart w:id="287" w:name="_Toc49430659"/>
      <w:bookmarkStart w:id="288" w:name="_Toc49430685"/>
      <w:bookmarkStart w:id="289" w:name="_Toc49750462"/>
      <w:bookmarkStart w:id="290" w:name="_Toc49750712"/>
      <w:bookmarkStart w:id="291" w:name="_Toc49750740"/>
      <w:bookmarkStart w:id="292" w:name="_Toc55284826"/>
      <w:bookmarkStart w:id="293" w:name="_Toc55298844"/>
      <w:bookmarkStart w:id="294" w:name="_Toc55373825"/>
      <w:bookmarkStart w:id="295" w:name="_Toc55373998"/>
      <w:bookmarkStart w:id="296" w:name="_Toc55375135"/>
      <w:bookmarkStart w:id="297" w:name="_Toc55396543"/>
      <w:bookmarkStart w:id="298" w:name="_Toc65230539"/>
      <w:bookmarkStart w:id="299" w:name="_Toc65230777"/>
      <w:bookmarkStart w:id="300" w:name="_Toc65232061"/>
      <w:bookmarkStart w:id="301" w:name="_Toc65232306"/>
      <w:bookmarkStart w:id="302" w:name="_Toc66716165"/>
      <w:bookmarkStart w:id="303" w:name="_Toc71097210"/>
      <w:bookmarkStart w:id="304" w:name="_Toc71097241"/>
      <w:bookmarkStart w:id="305" w:name="_Toc71097316"/>
      <w:bookmarkStart w:id="306" w:name="_Toc71108056"/>
      <w:bookmarkStart w:id="307" w:name="_Toc79055250"/>
      <w:bookmarkStart w:id="308" w:name="_Toc79055281"/>
      <w:bookmarkStart w:id="309" w:name="_Toc79060172"/>
      <w:bookmarkStart w:id="310" w:name="_Toc79060459"/>
      <w:bookmarkStart w:id="311" w:name="_Toc81307816"/>
      <w:bookmarkStart w:id="312" w:name="_Toc83376477"/>
      <w:bookmarkStart w:id="313" w:name="_Toc86386716"/>
      <w:bookmarkStart w:id="314" w:name="_Toc86405402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</w:p>
    <w:p w14:paraId="32F0DFB4" w14:textId="77777777" w:rsidR="00770433" w:rsidRPr="00AC1506" w:rsidRDefault="00770433" w:rsidP="00770433">
      <w:pPr>
        <w:pStyle w:val="Prrafodelista"/>
        <w:keepNext/>
        <w:keepLines/>
        <w:numPr>
          <w:ilvl w:val="0"/>
          <w:numId w:val="12"/>
        </w:numPr>
        <w:spacing w:before="20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val="es-ES_tradnl" w:eastAsia="es-ES"/>
        </w:rPr>
      </w:pPr>
      <w:bookmarkStart w:id="315" w:name="_Toc472082166"/>
      <w:bookmarkStart w:id="316" w:name="_Toc472082198"/>
      <w:bookmarkStart w:id="317" w:name="_Toc472089914"/>
      <w:bookmarkStart w:id="318" w:name="_Toc472089937"/>
      <w:bookmarkStart w:id="319" w:name="_Toc505346064"/>
      <w:bookmarkStart w:id="320" w:name="_Toc505349879"/>
      <w:bookmarkStart w:id="321" w:name="_Toc534985837"/>
      <w:bookmarkStart w:id="322" w:name="_Toc534988230"/>
      <w:bookmarkStart w:id="323" w:name="_Toc31611550"/>
      <w:bookmarkStart w:id="324" w:name="_Toc31612769"/>
      <w:bookmarkStart w:id="325" w:name="_Toc31612801"/>
      <w:bookmarkStart w:id="326" w:name="_Toc31614827"/>
      <w:bookmarkStart w:id="327" w:name="_Toc31614859"/>
      <w:bookmarkStart w:id="328" w:name="_Toc31618696"/>
      <w:bookmarkStart w:id="329" w:name="_Toc31618729"/>
      <w:bookmarkStart w:id="330" w:name="_Toc31624505"/>
      <w:bookmarkStart w:id="331" w:name="_Toc31625357"/>
      <w:bookmarkStart w:id="332" w:name="_Toc31626812"/>
      <w:bookmarkStart w:id="333" w:name="_Toc31811263"/>
      <w:bookmarkStart w:id="334" w:name="_Toc31811708"/>
      <w:bookmarkStart w:id="335" w:name="_Toc31971871"/>
      <w:bookmarkStart w:id="336" w:name="_Toc32230893"/>
      <w:bookmarkStart w:id="337" w:name="_Toc33109789"/>
      <w:bookmarkStart w:id="338" w:name="_Toc33109832"/>
      <w:bookmarkStart w:id="339" w:name="_Toc33180553"/>
      <w:bookmarkStart w:id="340" w:name="_Toc33180647"/>
      <w:bookmarkStart w:id="341" w:name="_Toc33193544"/>
      <w:bookmarkStart w:id="342" w:name="_Toc33193583"/>
      <w:bookmarkStart w:id="343" w:name="_Toc33196780"/>
      <w:bookmarkStart w:id="344" w:name="_Toc40691756"/>
      <w:bookmarkStart w:id="345" w:name="_Toc40959157"/>
      <w:bookmarkStart w:id="346" w:name="_Toc40975991"/>
      <w:bookmarkStart w:id="347" w:name="_Toc40976060"/>
      <w:bookmarkStart w:id="348" w:name="_Toc40993315"/>
      <w:bookmarkStart w:id="349" w:name="_Toc40993697"/>
      <w:bookmarkStart w:id="350" w:name="_Toc41037573"/>
      <w:bookmarkStart w:id="351" w:name="_Toc41254133"/>
      <w:bookmarkStart w:id="352" w:name="_Toc41254165"/>
      <w:bookmarkStart w:id="353" w:name="_Toc41254185"/>
      <w:bookmarkStart w:id="354" w:name="_Toc42023959"/>
      <w:bookmarkStart w:id="355" w:name="_Toc42024011"/>
      <w:bookmarkStart w:id="356" w:name="_Toc42069109"/>
      <w:bookmarkStart w:id="357" w:name="_Toc49422055"/>
      <w:bookmarkStart w:id="358" w:name="_Toc49422081"/>
      <w:bookmarkStart w:id="359" w:name="_Toc49430660"/>
      <w:bookmarkStart w:id="360" w:name="_Toc49430686"/>
      <w:bookmarkStart w:id="361" w:name="_Toc49750463"/>
      <w:bookmarkStart w:id="362" w:name="_Toc49750713"/>
      <w:bookmarkStart w:id="363" w:name="_Toc49750741"/>
      <w:bookmarkStart w:id="364" w:name="_Toc55284827"/>
      <w:bookmarkStart w:id="365" w:name="_Toc55298845"/>
      <w:bookmarkStart w:id="366" w:name="_Toc55373826"/>
      <w:bookmarkStart w:id="367" w:name="_Toc55373999"/>
      <w:bookmarkStart w:id="368" w:name="_Toc55375136"/>
      <w:bookmarkStart w:id="369" w:name="_Toc55396544"/>
      <w:bookmarkStart w:id="370" w:name="_Toc65230540"/>
      <w:bookmarkStart w:id="371" w:name="_Toc65230778"/>
      <w:bookmarkStart w:id="372" w:name="_Toc65232062"/>
      <w:bookmarkStart w:id="373" w:name="_Toc65232307"/>
      <w:bookmarkStart w:id="374" w:name="_Toc66716166"/>
      <w:bookmarkStart w:id="375" w:name="_Toc71097211"/>
      <w:bookmarkStart w:id="376" w:name="_Toc71097242"/>
      <w:bookmarkStart w:id="377" w:name="_Toc71097317"/>
      <w:bookmarkStart w:id="378" w:name="_Toc71108057"/>
      <w:bookmarkStart w:id="379" w:name="_Toc79055251"/>
      <w:bookmarkStart w:id="380" w:name="_Toc79055282"/>
      <w:bookmarkStart w:id="381" w:name="_Toc79060173"/>
      <w:bookmarkStart w:id="382" w:name="_Toc79060460"/>
      <w:bookmarkStart w:id="383" w:name="_Toc81307817"/>
      <w:bookmarkStart w:id="384" w:name="_Toc83376478"/>
      <w:bookmarkStart w:id="385" w:name="_Toc86386717"/>
      <w:bookmarkStart w:id="386" w:name="_Toc86405403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</w:p>
    <w:p w14:paraId="70696646" w14:textId="0FF0C15E" w:rsidR="00AF2B4E" w:rsidRPr="008D0075" w:rsidRDefault="00BB55F5" w:rsidP="008C33ED">
      <w:pPr>
        <w:pStyle w:val="Ttulo2"/>
        <w:numPr>
          <w:ilvl w:val="1"/>
          <w:numId w:val="12"/>
        </w:numPr>
        <w:tabs>
          <w:tab w:val="left" w:pos="426"/>
        </w:tabs>
        <w:spacing w:before="0"/>
        <w:ind w:left="284" w:hanging="284"/>
        <w:rPr>
          <w:rFonts w:cs="Times New Roman"/>
          <w:szCs w:val="22"/>
        </w:rPr>
        <w:sectPr w:rsidR="00AF2B4E" w:rsidRPr="008D0075" w:rsidSect="00CB498E">
          <w:headerReference w:type="default" r:id="rId22"/>
          <w:footerReference w:type="default" r:id="rId23"/>
          <w:headerReference w:type="first" r:id="rId24"/>
          <w:footerReference w:type="first" r:id="rId25"/>
          <w:pgSz w:w="12240" w:h="15840" w:code="1"/>
          <w:pgMar w:top="1418" w:right="1418" w:bottom="1418" w:left="1418" w:header="709" w:footer="709" w:gutter="0"/>
          <w:pgNumType w:start="0"/>
          <w:cols w:space="708"/>
          <w:titlePg/>
          <w:docGrid w:linePitch="360"/>
        </w:sectPr>
      </w:pPr>
      <w:bookmarkStart w:id="387" w:name="_Toc86405404"/>
      <w:r>
        <w:rPr>
          <w:rFonts w:ascii="Times New Roman" w:hAnsi="Times New Roman" w:cs="Times New Roman"/>
          <w:color w:val="auto"/>
          <w:sz w:val="24"/>
        </w:rPr>
        <w:t xml:space="preserve">Ejecución de gasto </w:t>
      </w:r>
      <w:r w:rsidR="009A56EF">
        <w:rPr>
          <w:rFonts w:ascii="Times New Roman" w:hAnsi="Times New Roman" w:cs="Times New Roman"/>
          <w:color w:val="auto"/>
          <w:sz w:val="24"/>
        </w:rPr>
        <w:t>público empieza</w:t>
      </w:r>
      <w:r w:rsidR="00E22AB6">
        <w:rPr>
          <w:rFonts w:ascii="Times New Roman" w:hAnsi="Times New Roman" w:cs="Times New Roman"/>
          <w:color w:val="auto"/>
          <w:sz w:val="24"/>
        </w:rPr>
        <w:t xml:space="preserve"> a contraerse</w:t>
      </w:r>
      <w:bookmarkEnd w:id="387"/>
    </w:p>
    <w:p w14:paraId="21B7C1BF" w14:textId="00728AE4" w:rsidR="007A1C1D" w:rsidRDefault="009A56EF" w:rsidP="00CD34D6">
      <w:pPr>
        <w:rPr>
          <w:rFonts w:cs="Times New Roman"/>
          <w:szCs w:val="22"/>
        </w:rPr>
      </w:pPr>
      <w:r>
        <w:rPr>
          <w:rFonts w:cs="Times New Roman"/>
          <w:szCs w:val="22"/>
        </w:rPr>
        <w:t>Al finalizar el tercer trimestre</w:t>
      </w:r>
      <w:r w:rsidR="00AA32B8">
        <w:rPr>
          <w:rFonts w:cs="Times New Roman"/>
          <w:szCs w:val="22"/>
        </w:rPr>
        <w:t xml:space="preserve"> de 2021</w:t>
      </w:r>
      <w:r w:rsidR="00DC343C">
        <w:rPr>
          <w:rFonts w:cs="Times New Roman"/>
          <w:szCs w:val="22"/>
        </w:rPr>
        <w:t>,</w:t>
      </w:r>
      <w:r w:rsidR="00BD54E7">
        <w:rPr>
          <w:rFonts w:cs="Times New Roman"/>
          <w:szCs w:val="22"/>
        </w:rPr>
        <w:t xml:space="preserve"> </w:t>
      </w:r>
      <w:r>
        <w:rPr>
          <w:rFonts w:cs="Times New Roman"/>
          <w:szCs w:val="22"/>
        </w:rPr>
        <w:t xml:space="preserve">el gasto público asciende a </w:t>
      </w:r>
      <w:r w:rsidR="00A9065D">
        <w:rPr>
          <w:rFonts w:cs="Times New Roman"/>
          <w:szCs w:val="22"/>
        </w:rPr>
        <w:t>Q61,688 millones</w:t>
      </w:r>
      <w:r w:rsidR="00AA32B8">
        <w:rPr>
          <w:rFonts w:cs="Times New Roman"/>
          <w:szCs w:val="22"/>
        </w:rPr>
        <w:t>,</w:t>
      </w:r>
      <w:r w:rsidR="00A9065D">
        <w:rPr>
          <w:rFonts w:cs="Times New Roman"/>
          <w:szCs w:val="22"/>
        </w:rPr>
        <w:t xml:space="preserve"> </w:t>
      </w:r>
      <w:r w:rsidR="00DC343C">
        <w:rPr>
          <w:rFonts w:cs="Times New Roman"/>
          <w:szCs w:val="22"/>
        </w:rPr>
        <w:t xml:space="preserve">con una </w:t>
      </w:r>
      <w:r w:rsidR="006934ED">
        <w:rPr>
          <w:rFonts w:cs="Times New Roman"/>
          <w:szCs w:val="22"/>
        </w:rPr>
        <w:t>variación interanual</w:t>
      </w:r>
      <w:r w:rsidR="00DC343C">
        <w:rPr>
          <w:rFonts w:cs="Times New Roman"/>
          <w:szCs w:val="22"/>
        </w:rPr>
        <w:t xml:space="preserve"> negativa del 1.5</w:t>
      </w:r>
      <w:r w:rsidR="00241721">
        <w:rPr>
          <w:rFonts w:cs="Times New Roman"/>
          <w:szCs w:val="22"/>
        </w:rPr>
        <w:t>%</w:t>
      </w:r>
      <w:r w:rsidR="00480A7B">
        <w:rPr>
          <w:rFonts w:cs="Times New Roman"/>
          <w:szCs w:val="22"/>
        </w:rPr>
        <w:t xml:space="preserve"> y en este sentido, e</w:t>
      </w:r>
      <w:r w:rsidR="00AD695C">
        <w:rPr>
          <w:rFonts w:cs="Times New Roman"/>
          <w:szCs w:val="22"/>
        </w:rPr>
        <w:t xml:space="preserve">s oportuno resaltar que </w:t>
      </w:r>
      <w:r w:rsidR="00D12DCC">
        <w:rPr>
          <w:rFonts w:cs="Times New Roman"/>
          <w:szCs w:val="22"/>
        </w:rPr>
        <w:t>el gasto público</w:t>
      </w:r>
      <w:r w:rsidR="00AD695C">
        <w:rPr>
          <w:rFonts w:cs="Times New Roman"/>
          <w:szCs w:val="22"/>
        </w:rPr>
        <w:t xml:space="preserve"> de 2020</w:t>
      </w:r>
      <w:r w:rsidR="00D12DCC">
        <w:rPr>
          <w:rFonts w:cs="Times New Roman"/>
          <w:szCs w:val="22"/>
        </w:rPr>
        <w:t xml:space="preserve"> se </w:t>
      </w:r>
      <w:r w:rsidR="00C73505">
        <w:rPr>
          <w:rFonts w:cs="Times New Roman"/>
          <w:szCs w:val="22"/>
        </w:rPr>
        <w:t xml:space="preserve">vio fuertemente </w:t>
      </w:r>
      <w:r w:rsidR="00D12DCC">
        <w:rPr>
          <w:rFonts w:cs="Times New Roman"/>
          <w:szCs w:val="22"/>
        </w:rPr>
        <w:t>afectad</w:t>
      </w:r>
      <w:r w:rsidR="0018117D">
        <w:rPr>
          <w:rFonts w:cs="Times New Roman"/>
          <w:szCs w:val="22"/>
        </w:rPr>
        <w:t>o</w:t>
      </w:r>
      <w:r w:rsidR="00D12DCC">
        <w:rPr>
          <w:rFonts w:cs="Times New Roman"/>
          <w:szCs w:val="22"/>
        </w:rPr>
        <w:t xml:space="preserve"> </w:t>
      </w:r>
      <w:r w:rsidR="00FA41E3">
        <w:rPr>
          <w:rFonts w:cs="Times New Roman"/>
          <w:szCs w:val="22"/>
        </w:rPr>
        <w:t xml:space="preserve">por </w:t>
      </w:r>
      <w:r w:rsidR="00D12DCC">
        <w:rPr>
          <w:rFonts w:cs="Times New Roman"/>
          <w:szCs w:val="22"/>
        </w:rPr>
        <w:t>la</w:t>
      </w:r>
      <w:r w:rsidR="00C73505">
        <w:rPr>
          <w:rFonts w:cs="Times New Roman"/>
          <w:szCs w:val="22"/>
        </w:rPr>
        <w:t>s circunstancias vividas de la</w:t>
      </w:r>
      <w:r w:rsidR="00D12DCC">
        <w:rPr>
          <w:rFonts w:cs="Times New Roman"/>
          <w:szCs w:val="22"/>
        </w:rPr>
        <w:t xml:space="preserve"> Pandemia del Covid-19</w:t>
      </w:r>
      <w:r w:rsidR="00F06B59">
        <w:rPr>
          <w:rFonts w:cs="Times New Roman"/>
          <w:szCs w:val="22"/>
        </w:rPr>
        <w:t xml:space="preserve"> y </w:t>
      </w:r>
      <w:r w:rsidR="00480A7B">
        <w:rPr>
          <w:rFonts w:cs="Times New Roman"/>
          <w:szCs w:val="22"/>
        </w:rPr>
        <w:t xml:space="preserve">durante </w:t>
      </w:r>
      <w:r w:rsidR="00057B7D">
        <w:rPr>
          <w:rFonts w:cs="Times New Roman"/>
          <w:szCs w:val="22"/>
        </w:rPr>
        <w:t xml:space="preserve">ese </w:t>
      </w:r>
      <w:r w:rsidR="00443BD2">
        <w:rPr>
          <w:rFonts w:cs="Times New Roman"/>
          <w:szCs w:val="22"/>
        </w:rPr>
        <w:t>trimestre</w:t>
      </w:r>
      <w:r w:rsidR="00416235">
        <w:rPr>
          <w:rFonts w:cs="Times New Roman"/>
          <w:szCs w:val="22"/>
        </w:rPr>
        <w:t xml:space="preserve">, </w:t>
      </w:r>
      <w:r w:rsidR="00F06B59">
        <w:rPr>
          <w:rFonts w:cs="Times New Roman"/>
          <w:szCs w:val="22"/>
        </w:rPr>
        <w:t xml:space="preserve">los programas para la atención económica </w:t>
      </w:r>
      <w:r w:rsidR="00E036BB">
        <w:rPr>
          <w:rFonts w:cs="Times New Roman"/>
          <w:szCs w:val="22"/>
        </w:rPr>
        <w:t xml:space="preserve">y social se encontraban en </w:t>
      </w:r>
      <w:r w:rsidR="00057B7D">
        <w:rPr>
          <w:rFonts w:cs="Times New Roman"/>
          <w:szCs w:val="22"/>
        </w:rPr>
        <w:t xml:space="preserve">plena </w:t>
      </w:r>
      <w:r w:rsidR="00E036BB">
        <w:rPr>
          <w:rFonts w:cs="Times New Roman"/>
          <w:szCs w:val="22"/>
        </w:rPr>
        <w:t>ejecución</w:t>
      </w:r>
      <w:r w:rsidR="004F1203">
        <w:rPr>
          <w:rFonts w:cs="Times New Roman"/>
          <w:szCs w:val="22"/>
        </w:rPr>
        <w:t>,</w:t>
      </w:r>
      <w:r w:rsidR="00BD7B07">
        <w:rPr>
          <w:rFonts w:cs="Times New Roman"/>
          <w:szCs w:val="22"/>
        </w:rPr>
        <w:t xml:space="preserve"> lo cual explica en buena medida la contracción que se observa en 2021</w:t>
      </w:r>
      <w:r w:rsidR="004F1203">
        <w:rPr>
          <w:rFonts w:cs="Times New Roman"/>
          <w:szCs w:val="22"/>
        </w:rPr>
        <w:t xml:space="preserve"> en términos interanuales</w:t>
      </w:r>
      <w:r w:rsidR="00BD7B07">
        <w:rPr>
          <w:rFonts w:cs="Times New Roman"/>
          <w:szCs w:val="22"/>
        </w:rPr>
        <w:t>.</w:t>
      </w:r>
      <w:r w:rsidR="008A5A7E">
        <w:rPr>
          <w:rFonts w:cs="Times New Roman"/>
          <w:szCs w:val="22"/>
        </w:rPr>
        <w:t xml:space="preserve"> </w:t>
      </w:r>
    </w:p>
    <w:p w14:paraId="729547B8" w14:textId="55C60CFD" w:rsidR="007A1C1D" w:rsidRDefault="00A40405" w:rsidP="00CD34D6">
      <w:pPr>
        <w:rPr>
          <w:rFonts w:cs="Times New Roman"/>
          <w:szCs w:val="22"/>
        </w:rPr>
      </w:pPr>
      <w:r w:rsidRPr="00AC1506">
        <w:rPr>
          <w:rFonts w:cs="Times New Roman"/>
          <w:noProof/>
          <w:lang w:eastAsia="es-GT"/>
        </w:rPr>
        <w:drawing>
          <wp:inline distT="0" distB="0" distL="0" distR="0" wp14:anchorId="3C69339C" wp14:editId="35F913E6">
            <wp:extent cx="6073775" cy="1966823"/>
            <wp:effectExtent l="0" t="0" r="3175" b="0"/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916F3D3" w14:textId="40080FCD" w:rsidR="009735AF" w:rsidRDefault="00D84AF0" w:rsidP="00FB5489">
      <w:pPr>
        <w:rPr>
          <w:rFonts w:cs="Times New Roman"/>
          <w:szCs w:val="22"/>
        </w:rPr>
      </w:pPr>
      <w:r w:rsidRPr="00AC1506">
        <w:rPr>
          <w:rFonts w:cs="Times New Roman"/>
          <w:noProof/>
          <w:szCs w:val="22"/>
          <w:lang w:eastAsia="es-GT"/>
        </w:rPr>
        <w:drawing>
          <wp:anchor distT="0" distB="0" distL="114300" distR="114300" simplePos="0" relativeHeight="251660295" behindDoc="0" locked="0" layoutInCell="1" allowOverlap="1" wp14:anchorId="6DF3793B" wp14:editId="087C8809">
            <wp:simplePos x="0" y="0"/>
            <wp:positionH relativeFrom="column">
              <wp:posOffset>2822575</wp:posOffset>
            </wp:positionH>
            <wp:positionV relativeFrom="paragraph">
              <wp:posOffset>841375</wp:posOffset>
            </wp:positionV>
            <wp:extent cx="3134360" cy="2999105"/>
            <wp:effectExtent l="0" t="0" r="8890" b="10795"/>
            <wp:wrapSquare wrapText="bothSides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5AF">
        <w:rPr>
          <w:rFonts w:cs="Times New Roman"/>
          <w:szCs w:val="22"/>
        </w:rPr>
        <w:t>La mayor disminución del gasto público</w:t>
      </w:r>
      <w:r w:rsidR="00FB5489">
        <w:rPr>
          <w:rFonts w:cs="Times New Roman"/>
          <w:szCs w:val="22"/>
        </w:rPr>
        <w:t xml:space="preserve"> se produce en </w:t>
      </w:r>
      <w:r w:rsidR="00230328">
        <w:rPr>
          <w:rFonts w:cs="Times New Roman"/>
          <w:szCs w:val="22"/>
        </w:rPr>
        <w:t>las</w:t>
      </w:r>
      <w:r w:rsidR="009735AF">
        <w:rPr>
          <w:rFonts w:cs="Times New Roman"/>
          <w:szCs w:val="22"/>
        </w:rPr>
        <w:t xml:space="preserve"> prestaciones </w:t>
      </w:r>
      <w:r w:rsidR="00A23748">
        <w:rPr>
          <w:rFonts w:cs="Times New Roman"/>
          <w:szCs w:val="22"/>
        </w:rPr>
        <w:t>sociales</w:t>
      </w:r>
      <w:r w:rsidR="009735AF">
        <w:rPr>
          <w:rFonts w:cs="Times New Roman"/>
          <w:szCs w:val="22"/>
        </w:rPr>
        <w:t>, las cuales ascienden a Q</w:t>
      </w:r>
      <w:r w:rsidR="009C2B41">
        <w:rPr>
          <w:rFonts w:cs="Times New Roman"/>
          <w:szCs w:val="22"/>
        </w:rPr>
        <w:t xml:space="preserve">4,466.0 millones y tiene una variación interanual negativa del </w:t>
      </w:r>
      <w:r w:rsidR="00A23748">
        <w:rPr>
          <w:rFonts w:cs="Times New Roman"/>
          <w:szCs w:val="22"/>
        </w:rPr>
        <w:t>52.7% (Q4,972.0 millones)</w:t>
      </w:r>
      <w:r w:rsidR="005B3C10">
        <w:rPr>
          <w:rFonts w:cs="Times New Roman"/>
          <w:szCs w:val="22"/>
        </w:rPr>
        <w:t xml:space="preserve">. </w:t>
      </w:r>
      <w:r w:rsidR="00253C9B">
        <w:rPr>
          <w:rFonts w:cs="Times New Roman"/>
          <w:szCs w:val="22"/>
        </w:rPr>
        <w:t>D</w:t>
      </w:r>
      <w:r w:rsidR="005B3C10">
        <w:rPr>
          <w:rFonts w:cs="Times New Roman"/>
          <w:szCs w:val="22"/>
        </w:rPr>
        <w:t xml:space="preserve">urante el 2020 en esta cuenta se encuentran </w:t>
      </w:r>
      <w:r w:rsidR="00C92885">
        <w:rPr>
          <w:rFonts w:cs="Times New Roman"/>
          <w:szCs w:val="22"/>
        </w:rPr>
        <w:t>algunos</w:t>
      </w:r>
      <w:r w:rsidR="00253C9B">
        <w:rPr>
          <w:rFonts w:cs="Times New Roman"/>
          <w:szCs w:val="22"/>
        </w:rPr>
        <w:t xml:space="preserve"> programas </w:t>
      </w:r>
      <w:r w:rsidR="004A186E">
        <w:rPr>
          <w:rFonts w:cs="Times New Roman"/>
          <w:szCs w:val="22"/>
        </w:rPr>
        <w:t xml:space="preserve">destinados a mitigar los efectos del Covid-19, siendo </w:t>
      </w:r>
      <w:r w:rsidR="00230328">
        <w:rPr>
          <w:rFonts w:cs="Times New Roman"/>
          <w:szCs w:val="22"/>
        </w:rPr>
        <w:t>el más destacado</w:t>
      </w:r>
      <w:r w:rsidR="004A186E">
        <w:rPr>
          <w:rFonts w:cs="Times New Roman"/>
          <w:szCs w:val="22"/>
        </w:rPr>
        <w:t xml:space="preserve"> el </w:t>
      </w:r>
      <w:r w:rsidR="00230328">
        <w:rPr>
          <w:rFonts w:cs="Times New Roman"/>
          <w:szCs w:val="22"/>
        </w:rPr>
        <w:t>B</w:t>
      </w:r>
      <w:r w:rsidR="004A186E">
        <w:rPr>
          <w:rFonts w:cs="Times New Roman"/>
          <w:szCs w:val="22"/>
        </w:rPr>
        <w:t>ono Familia</w:t>
      </w:r>
      <w:r w:rsidR="00230328">
        <w:rPr>
          <w:rFonts w:cs="Times New Roman"/>
          <w:szCs w:val="22"/>
        </w:rPr>
        <w:t xml:space="preserve"> el cual no continuo durante el presente año.</w:t>
      </w:r>
      <w:r w:rsidR="00985412">
        <w:rPr>
          <w:rFonts w:cs="Times New Roman"/>
          <w:szCs w:val="22"/>
        </w:rPr>
        <w:t xml:space="preserve"> Los subsidios al final de septiembre </w:t>
      </w:r>
      <w:r w:rsidR="00D15833">
        <w:rPr>
          <w:rFonts w:cs="Times New Roman"/>
          <w:szCs w:val="22"/>
        </w:rPr>
        <w:t>ascienden a Q298.6 millones</w:t>
      </w:r>
      <w:r w:rsidR="007B35AF">
        <w:rPr>
          <w:rFonts w:cs="Times New Roman"/>
          <w:szCs w:val="22"/>
        </w:rPr>
        <w:t xml:space="preserve"> con una variación interanual negativa del 86.5% (</w:t>
      </w:r>
      <w:r w:rsidR="00576171">
        <w:rPr>
          <w:rFonts w:cs="Times New Roman"/>
          <w:szCs w:val="22"/>
        </w:rPr>
        <w:t>Q1,906.3 millones)</w:t>
      </w:r>
      <w:r w:rsidR="000F3AC7">
        <w:rPr>
          <w:rFonts w:cs="Times New Roman"/>
          <w:szCs w:val="22"/>
        </w:rPr>
        <w:t xml:space="preserve"> siendo la segunda mayor causa de la contracción del gasto total</w:t>
      </w:r>
      <w:r w:rsidR="0025138D">
        <w:rPr>
          <w:rFonts w:cs="Times New Roman"/>
          <w:szCs w:val="22"/>
        </w:rPr>
        <w:t xml:space="preserve"> en el presente año</w:t>
      </w:r>
      <w:r w:rsidR="00936D12">
        <w:rPr>
          <w:rFonts w:cs="Times New Roman"/>
          <w:szCs w:val="22"/>
        </w:rPr>
        <w:t xml:space="preserve"> y dicha disminución se debe a que en 2020, en dicha cuenta se encontraba</w:t>
      </w:r>
      <w:r w:rsidR="00125827">
        <w:rPr>
          <w:rFonts w:cs="Times New Roman"/>
          <w:szCs w:val="22"/>
        </w:rPr>
        <w:t xml:space="preserve"> el</w:t>
      </w:r>
      <w:r w:rsidR="0025138D">
        <w:rPr>
          <w:rFonts w:cs="Times New Roman"/>
          <w:szCs w:val="22"/>
        </w:rPr>
        <w:t xml:space="preserve"> </w:t>
      </w:r>
      <w:r w:rsidR="00AE2F2F">
        <w:t>Bono de Protección de Empleo</w:t>
      </w:r>
      <w:r w:rsidR="00E92063">
        <w:t>.</w:t>
      </w:r>
    </w:p>
    <w:p w14:paraId="33301138" w14:textId="15AE09A1" w:rsidR="009735AF" w:rsidRDefault="009735AF" w:rsidP="00FB5489">
      <w:pPr>
        <w:rPr>
          <w:rFonts w:cs="Times New Roman"/>
          <w:szCs w:val="22"/>
        </w:rPr>
      </w:pPr>
    </w:p>
    <w:p w14:paraId="16EE0FD2" w14:textId="04910BB7" w:rsidR="00FB5489" w:rsidRDefault="005B0422" w:rsidP="00FB5489">
      <w:pPr>
        <w:rPr>
          <w:rFonts w:cs="Times New Roman"/>
          <w:szCs w:val="22"/>
        </w:rPr>
      </w:pPr>
      <w:r>
        <w:rPr>
          <w:rFonts w:cs="Times New Roman"/>
          <w:szCs w:val="22"/>
        </w:rPr>
        <w:t>Por su parte, el gasto en</w:t>
      </w:r>
      <w:r w:rsidR="00FB5489">
        <w:rPr>
          <w:rFonts w:cs="Times New Roman"/>
          <w:szCs w:val="22"/>
        </w:rPr>
        <w:t xml:space="preserve"> uso de bienes y servicios </w:t>
      </w:r>
      <w:r>
        <w:rPr>
          <w:rFonts w:cs="Times New Roman"/>
          <w:szCs w:val="22"/>
        </w:rPr>
        <w:t xml:space="preserve">muestra </w:t>
      </w:r>
      <w:r w:rsidR="00FB5489">
        <w:rPr>
          <w:rFonts w:cs="Times New Roman"/>
          <w:szCs w:val="22"/>
        </w:rPr>
        <w:t>variación interanual</w:t>
      </w:r>
      <w:r w:rsidR="004923FA">
        <w:rPr>
          <w:rFonts w:cs="Times New Roman"/>
          <w:szCs w:val="22"/>
        </w:rPr>
        <w:t xml:space="preserve"> positiva</w:t>
      </w:r>
      <w:r w:rsidR="00FB5489">
        <w:rPr>
          <w:rFonts w:cs="Times New Roman"/>
          <w:szCs w:val="22"/>
        </w:rPr>
        <w:t xml:space="preserve"> del </w:t>
      </w:r>
      <w:r w:rsidR="00173633">
        <w:rPr>
          <w:rFonts w:cs="Times New Roman"/>
          <w:szCs w:val="22"/>
        </w:rPr>
        <w:t>4</w:t>
      </w:r>
      <w:r w:rsidR="00FB5489">
        <w:rPr>
          <w:rFonts w:cs="Times New Roman"/>
          <w:szCs w:val="22"/>
        </w:rPr>
        <w:t>5.</w:t>
      </w:r>
      <w:r w:rsidR="00173633">
        <w:rPr>
          <w:rFonts w:cs="Times New Roman"/>
          <w:szCs w:val="22"/>
        </w:rPr>
        <w:t>7</w:t>
      </w:r>
      <w:r w:rsidR="00FB5489">
        <w:rPr>
          <w:rFonts w:cs="Times New Roman"/>
          <w:szCs w:val="22"/>
        </w:rPr>
        <w:t>% (Q2,5</w:t>
      </w:r>
      <w:r w:rsidR="00173633">
        <w:rPr>
          <w:rFonts w:cs="Times New Roman"/>
          <w:szCs w:val="22"/>
        </w:rPr>
        <w:t>00</w:t>
      </w:r>
      <w:r w:rsidR="00FB5489">
        <w:rPr>
          <w:rFonts w:cs="Times New Roman"/>
          <w:szCs w:val="22"/>
        </w:rPr>
        <w:t>.</w:t>
      </w:r>
      <w:r w:rsidR="00173633">
        <w:rPr>
          <w:rFonts w:cs="Times New Roman"/>
          <w:szCs w:val="22"/>
        </w:rPr>
        <w:t>6</w:t>
      </w:r>
      <w:r w:rsidR="00FB5489">
        <w:rPr>
          <w:rFonts w:cs="Times New Roman"/>
          <w:szCs w:val="22"/>
        </w:rPr>
        <w:t xml:space="preserve"> millones)</w:t>
      </w:r>
      <w:r w:rsidR="00565C03">
        <w:rPr>
          <w:rFonts w:cs="Times New Roman"/>
          <w:szCs w:val="22"/>
        </w:rPr>
        <w:t xml:space="preserve"> y asciende a un total de Q7,967.3 millones</w:t>
      </w:r>
      <w:r w:rsidR="00F842AB">
        <w:rPr>
          <w:rFonts w:cs="Times New Roman"/>
          <w:szCs w:val="22"/>
        </w:rPr>
        <w:t>, este incremento es explicado</w:t>
      </w:r>
      <w:r w:rsidR="007F122B">
        <w:rPr>
          <w:rFonts w:cs="Times New Roman"/>
          <w:szCs w:val="22"/>
        </w:rPr>
        <w:t xml:space="preserve"> principalmente </w:t>
      </w:r>
      <w:r w:rsidR="00F5270F">
        <w:rPr>
          <w:rFonts w:cs="Times New Roman"/>
          <w:szCs w:val="22"/>
        </w:rPr>
        <w:t xml:space="preserve">por </w:t>
      </w:r>
      <w:r w:rsidR="005E5F7C">
        <w:rPr>
          <w:rFonts w:cs="Times New Roman"/>
          <w:szCs w:val="22"/>
        </w:rPr>
        <w:t>las compras</w:t>
      </w:r>
      <w:r w:rsidR="00F5270F">
        <w:rPr>
          <w:rFonts w:cs="Times New Roman"/>
          <w:szCs w:val="22"/>
        </w:rPr>
        <w:t xml:space="preserve"> realizadas por el </w:t>
      </w:r>
      <w:r w:rsidR="00E66F56" w:rsidRPr="00E66F56">
        <w:rPr>
          <w:rFonts w:cs="Times New Roman"/>
          <w:szCs w:val="22"/>
        </w:rPr>
        <w:t>Ministerio de Salud Pública y Asistencia Social</w:t>
      </w:r>
      <w:r w:rsidR="00E66F56">
        <w:rPr>
          <w:rFonts w:cs="Times New Roman"/>
          <w:szCs w:val="22"/>
        </w:rPr>
        <w:t xml:space="preserve"> </w:t>
      </w:r>
      <w:r w:rsidR="00614929">
        <w:rPr>
          <w:rFonts w:cs="Times New Roman"/>
          <w:szCs w:val="22"/>
        </w:rPr>
        <w:t xml:space="preserve">en las </w:t>
      </w:r>
      <w:r w:rsidR="005E5F7C">
        <w:rPr>
          <w:rFonts w:cs="Times New Roman"/>
          <w:szCs w:val="22"/>
        </w:rPr>
        <w:t xml:space="preserve">vacunas </w:t>
      </w:r>
      <w:r w:rsidR="00F5270F">
        <w:rPr>
          <w:rFonts w:cs="Times New Roman"/>
          <w:szCs w:val="22"/>
        </w:rPr>
        <w:t>para combatir al Covid-19</w:t>
      </w:r>
      <w:r w:rsidR="00614929">
        <w:rPr>
          <w:rFonts w:cs="Times New Roman"/>
          <w:szCs w:val="22"/>
        </w:rPr>
        <w:t>.</w:t>
      </w:r>
      <w:r w:rsidR="005E2A4D">
        <w:rPr>
          <w:rFonts w:cs="Times New Roman"/>
          <w:szCs w:val="22"/>
        </w:rPr>
        <w:t xml:space="preserve"> </w:t>
      </w:r>
      <w:r w:rsidR="00FB5489">
        <w:rPr>
          <w:rFonts w:cs="Times New Roman"/>
          <w:szCs w:val="22"/>
        </w:rPr>
        <w:t xml:space="preserve">Las donaciones tuvieron un crecimiento del </w:t>
      </w:r>
      <w:r w:rsidR="00701ACD">
        <w:rPr>
          <w:rFonts w:cs="Times New Roman"/>
          <w:szCs w:val="22"/>
        </w:rPr>
        <w:t>11</w:t>
      </w:r>
      <w:r w:rsidR="00FB5489">
        <w:rPr>
          <w:rFonts w:cs="Times New Roman"/>
          <w:szCs w:val="22"/>
        </w:rPr>
        <w:t>.</w:t>
      </w:r>
      <w:r w:rsidR="00701ACD">
        <w:rPr>
          <w:rFonts w:cs="Times New Roman"/>
          <w:szCs w:val="22"/>
        </w:rPr>
        <w:t>1</w:t>
      </w:r>
      <w:r w:rsidR="00FB5489">
        <w:rPr>
          <w:rFonts w:cs="Times New Roman"/>
          <w:szCs w:val="22"/>
        </w:rPr>
        <w:t>% (Q</w:t>
      </w:r>
      <w:r w:rsidR="00701ACD">
        <w:rPr>
          <w:rFonts w:cs="Times New Roman"/>
          <w:szCs w:val="22"/>
        </w:rPr>
        <w:t>1</w:t>
      </w:r>
      <w:r w:rsidR="00051879">
        <w:rPr>
          <w:rFonts w:cs="Times New Roman"/>
          <w:szCs w:val="22"/>
        </w:rPr>
        <w:t>,</w:t>
      </w:r>
      <w:r w:rsidR="00701ACD">
        <w:rPr>
          <w:rFonts w:cs="Times New Roman"/>
          <w:szCs w:val="22"/>
        </w:rPr>
        <w:t>49</w:t>
      </w:r>
      <w:r w:rsidR="00051879">
        <w:rPr>
          <w:rFonts w:cs="Times New Roman"/>
          <w:szCs w:val="22"/>
        </w:rPr>
        <w:t>2</w:t>
      </w:r>
      <w:r w:rsidR="00FB5489">
        <w:rPr>
          <w:rFonts w:cs="Times New Roman"/>
          <w:szCs w:val="22"/>
        </w:rPr>
        <w:t>.</w:t>
      </w:r>
      <w:r w:rsidR="00051879">
        <w:rPr>
          <w:rFonts w:cs="Times New Roman"/>
          <w:szCs w:val="22"/>
        </w:rPr>
        <w:t>0</w:t>
      </w:r>
      <w:r w:rsidR="00FB5489">
        <w:rPr>
          <w:rFonts w:cs="Times New Roman"/>
          <w:szCs w:val="22"/>
        </w:rPr>
        <w:t xml:space="preserve"> millones)</w:t>
      </w:r>
      <w:r w:rsidR="00396168">
        <w:rPr>
          <w:rFonts w:cs="Times New Roman"/>
          <w:szCs w:val="22"/>
        </w:rPr>
        <w:t xml:space="preserve"> y ascendiendo a un </w:t>
      </w:r>
      <w:r w:rsidR="00057B7D">
        <w:rPr>
          <w:rFonts w:cs="Times New Roman"/>
          <w:szCs w:val="22"/>
        </w:rPr>
        <w:t>to</w:t>
      </w:r>
      <w:r w:rsidR="00396168">
        <w:rPr>
          <w:rFonts w:cs="Times New Roman"/>
          <w:szCs w:val="22"/>
        </w:rPr>
        <w:t>tal de Q14,907.5 millones</w:t>
      </w:r>
      <w:r w:rsidR="00051879">
        <w:rPr>
          <w:rFonts w:cs="Times New Roman"/>
          <w:szCs w:val="22"/>
        </w:rPr>
        <w:t xml:space="preserve">, </w:t>
      </w:r>
      <w:r w:rsidR="009F4863">
        <w:rPr>
          <w:rFonts w:cs="Times New Roman"/>
          <w:szCs w:val="22"/>
        </w:rPr>
        <w:t>mientras</w:t>
      </w:r>
      <w:r w:rsidR="00051879">
        <w:rPr>
          <w:rFonts w:cs="Times New Roman"/>
          <w:szCs w:val="22"/>
        </w:rPr>
        <w:t xml:space="preserve"> que</w:t>
      </w:r>
      <w:r w:rsidR="009F4863">
        <w:rPr>
          <w:rFonts w:cs="Times New Roman"/>
          <w:szCs w:val="22"/>
        </w:rPr>
        <w:t xml:space="preserve"> </w:t>
      </w:r>
      <w:r w:rsidR="005E2A4D">
        <w:rPr>
          <w:rFonts w:cs="Times New Roman"/>
          <w:szCs w:val="22"/>
        </w:rPr>
        <w:t>los intereses</w:t>
      </w:r>
      <w:r w:rsidR="009F4863">
        <w:rPr>
          <w:rFonts w:cs="Times New Roman"/>
          <w:szCs w:val="22"/>
        </w:rPr>
        <w:t xml:space="preserve"> y</w:t>
      </w:r>
      <w:r w:rsidR="00051879">
        <w:rPr>
          <w:rFonts w:cs="Times New Roman"/>
          <w:szCs w:val="22"/>
        </w:rPr>
        <w:t xml:space="preserve"> </w:t>
      </w:r>
      <w:r w:rsidR="00FB5489">
        <w:rPr>
          <w:rFonts w:cs="Times New Roman"/>
          <w:szCs w:val="22"/>
        </w:rPr>
        <w:t xml:space="preserve">las remuneraciones a los empleados </w:t>
      </w:r>
      <w:r w:rsidR="00051879">
        <w:rPr>
          <w:rFonts w:cs="Times New Roman"/>
          <w:szCs w:val="22"/>
        </w:rPr>
        <w:t xml:space="preserve">tienen una </w:t>
      </w:r>
      <w:r w:rsidR="004B2ACC">
        <w:rPr>
          <w:rFonts w:cs="Times New Roman"/>
          <w:szCs w:val="22"/>
        </w:rPr>
        <w:t xml:space="preserve">variación </w:t>
      </w:r>
      <w:r w:rsidR="00FB5489">
        <w:rPr>
          <w:rFonts w:cs="Times New Roman"/>
          <w:szCs w:val="22"/>
        </w:rPr>
        <w:t xml:space="preserve">del </w:t>
      </w:r>
      <w:r w:rsidR="00C319BB">
        <w:rPr>
          <w:rFonts w:cs="Times New Roman"/>
          <w:szCs w:val="22"/>
        </w:rPr>
        <w:t xml:space="preserve">17.4% </w:t>
      </w:r>
      <w:r w:rsidR="00FB5489">
        <w:rPr>
          <w:rFonts w:cs="Times New Roman"/>
          <w:szCs w:val="22"/>
        </w:rPr>
        <w:t>(Q</w:t>
      </w:r>
      <w:r w:rsidR="00C319BB">
        <w:rPr>
          <w:rFonts w:cs="Times New Roman"/>
          <w:szCs w:val="22"/>
        </w:rPr>
        <w:t>1,158.0</w:t>
      </w:r>
      <w:r w:rsidR="00FB5489">
        <w:rPr>
          <w:rFonts w:cs="Times New Roman"/>
          <w:szCs w:val="22"/>
        </w:rPr>
        <w:t xml:space="preserve"> millones)</w:t>
      </w:r>
      <w:r w:rsidR="004B2ACC">
        <w:rPr>
          <w:rFonts w:cs="Times New Roman"/>
          <w:szCs w:val="22"/>
        </w:rPr>
        <w:t xml:space="preserve"> y del 3.1% (Q669</w:t>
      </w:r>
      <w:r w:rsidR="005E2A4D">
        <w:rPr>
          <w:rFonts w:cs="Times New Roman"/>
          <w:szCs w:val="22"/>
        </w:rPr>
        <w:t>.0 millones) respectivamente</w:t>
      </w:r>
      <w:r w:rsidR="00FB5489">
        <w:rPr>
          <w:rFonts w:cs="Times New Roman"/>
          <w:szCs w:val="22"/>
        </w:rPr>
        <w:t>.</w:t>
      </w:r>
      <w:r w:rsidR="00D84AF0" w:rsidRPr="00D84AF0">
        <w:rPr>
          <w:rFonts w:cs="Times New Roman"/>
          <w:noProof/>
          <w:szCs w:val="22"/>
          <w:lang w:eastAsia="es-GT"/>
        </w:rPr>
        <w:t xml:space="preserve"> </w:t>
      </w:r>
    </w:p>
    <w:p w14:paraId="58400935" w14:textId="2BAE138B" w:rsidR="00603AA0" w:rsidRDefault="00603AA0" w:rsidP="00497EBD">
      <w:pPr>
        <w:jc w:val="center"/>
        <w:rPr>
          <w:rFonts w:cs="Times New Roman"/>
          <w:sz w:val="16"/>
          <w:szCs w:val="22"/>
          <w:lang w:val="es-MX"/>
        </w:rPr>
      </w:pPr>
    </w:p>
    <w:p w14:paraId="50307471" w14:textId="77777777" w:rsidR="00603AA0" w:rsidRDefault="00603AA0" w:rsidP="00497EBD">
      <w:pPr>
        <w:jc w:val="center"/>
        <w:rPr>
          <w:rFonts w:cs="Times New Roman"/>
          <w:sz w:val="16"/>
          <w:szCs w:val="22"/>
          <w:lang w:val="es-MX"/>
        </w:rPr>
      </w:pPr>
    </w:p>
    <w:p w14:paraId="051E5CBD" w14:textId="34E269F1" w:rsidR="008B2529" w:rsidRPr="00AC1506" w:rsidRDefault="006122C1" w:rsidP="008B2529">
      <w:pPr>
        <w:pStyle w:val="Prrafodelista"/>
        <w:numPr>
          <w:ilvl w:val="0"/>
          <w:numId w:val="1"/>
        </w:numPr>
        <w:ind w:left="426" w:hanging="426"/>
        <w:outlineLvl w:val="0"/>
        <w:rPr>
          <w:rFonts w:cs="Times New Roman"/>
          <w:b/>
          <w:sz w:val="24"/>
          <w:lang w:val="es-MX"/>
        </w:rPr>
      </w:pPr>
      <w:bookmarkStart w:id="388" w:name="_Toc42023961"/>
      <w:bookmarkStart w:id="389" w:name="_Toc42024013"/>
      <w:bookmarkStart w:id="390" w:name="_Toc411347499"/>
      <w:bookmarkStart w:id="391" w:name="_Toc86405405"/>
      <w:bookmarkEnd w:id="388"/>
      <w:bookmarkEnd w:id="389"/>
      <w:r w:rsidRPr="00AC1506">
        <w:rPr>
          <w:rFonts w:cs="Times New Roman"/>
          <w:b/>
          <w:sz w:val="24"/>
          <w:lang w:val="es-MX"/>
        </w:rPr>
        <w:t xml:space="preserve">Transacciones en Activos </w:t>
      </w:r>
      <w:r w:rsidR="00F4077C" w:rsidRPr="00AC1506">
        <w:rPr>
          <w:rFonts w:cs="Times New Roman"/>
          <w:b/>
          <w:sz w:val="24"/>
          <w:lang w:val="es-MX"/>
        </w:rPr>
        <w:t>No Financieros</w:t>
      </w:r>
      <w:bookmarkEnd w:id="391"/>
    </w:p>
    <w:p w14:paraId="3079688C" w14:textId="58D1019F" w:rsidR="00A72A8F" w:rsidRPr="00AC1506" w:rsidRDefault="006E4C13" w:rsidP="00C17472">
      <w:pPr>
        <w:rPr>
          <w:rFonts w:cs="Times New Roman"/>
          <w:sz w:val="24"/>
          <w:lang w:val="es-MX"/>
        </w:rPr>
      </w:pPr>
      <w:r w:rsidRPr="00AC1506">
        <w:rPr>
          <w:rFonts w:eastAsiaTheme="majorEastAsia"/>
          <w:noProof/>
          <w:lang w:eastAsia="es-GT"/>
        </w:rPr>
        <w:drawing>
          <wp:inline distT="0" distB="0" distL="0" distR="0" wp14:anchorId="442F73B6" wp14:editId="7EFD020C">
            <wp:extent cx="5836920" cy="876300"/>
            <wp:effectExtent l="76200" t="38100" r="87630" b="133350"/>
            <wp:docPr id="20" name="Diagrama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6691AA13" w14:textId="77777777" w:rsidR="00A72A8F" w:rsidRPr="00AC1506" w:rsidRDefault="00A72A8F" w:rsidP="00A72A8F">
      <w:pPr>
        <w:pStyle w:val="Prrafodelista"/>
        <w:keepNext/>
        <w:keepLines/>
        <w:numPr>
          <w:ilvl w:val="0"/>
          <w:numId w:val="12"/>
        </w:numPr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val="es-ES_tradnl" w:eastAsia="es-ES"/>
        </w:rPr>
      </w:pPr>
      <w:bookmarkStart w:id="392" w:name="_Toc33109793"/>
      <w:bookmarkStart w:id="393" w:name="_Toc33109836"/>
      <w:bookmarkStart w:id="394" w:name="_Toc33180557"/>
      <w:bookmarkStart w:id="395" w:name="_Toc33180651"/>
      <w:bookmarkStart w:id="396" w:name="_Toc33193548"/>
      <w:bookmarkStart w:id="397" w:name="_Toc33193587"/>
      <w:bookmarkStart w:id="398" w:name="_Toc33196784"/>
      <w:bookmarkStart w:id="399" w:name="_Toc40691760"/>
      <w:bookmarkStart w:id="400" w:name="_Toc40959160"/>
      <w:bookmarkStart w:id="401" w:name="_Toc40975994"/>
      <w:bookmarkStart w:id="402" w:name="_Toc40976063"/>
      <w:bookmarkStart w:id="403" w:name="_Toc40993318"/>
      <w:bookmarkStart w:id="404" w:name="_Toc40993700"/>
      <w:bookmarkStart w:id="405" w:name="_Toc41037576"/>
      <w:bookmarkStart w:id="406" w:name="_Toc41254136"/>
      <w:bookmarkStart w:id="407" w:name="_Toc41254168"/>
      <w:bookmarkStart w:id="408" w:name="_Toc41254188"/>
      <w:bookmarkStart w:id="409" w:name="_Toc42023964"/>
      <w:bookmarkStart w:id="410" w:name="_Toc42024015"/>
      <w:bookmarkStart w:id="411" w:name="_Toc42069112"/>
      <w:bookmarkStart w:id="412" w:name="_Toc49422058"/>
      <w:bookmarkStart w:id="413" w:name="_Toc49422084"/>
      <w:bookmarkStart w:id="414" w:name="_Toc49430663"/>
      <w:bookmarkStart w:id="415" w:name="_Toc49430689"/>
      <w:bookmarkStart w:id="416" w:name="_Toc49750466"/>
      <w:bookmarkStart w:id="417" w:name="_Toc49750716"/>
      <w:bookmarkStart w:id="418" w:name="_Toc49750744"/>
      <w:bookmarkStart w:id="419" w:name="_Toc55284830"/>
      <w:bookmarkStart w:id="420" w:name="_Toc55298848"/>
      <w:bookmarkStart w:id="421" w:name="_Toc55373829"/>
      <w:bookmarkStart w:id="422" w:name="_Toc55374002"/>
      <w:bookmarkStart w:id="423" w:name="_Toc55375139"/>
      <w:bookmarkStart w:id="424" w:name="_Toc55396547"/>
      <w:bookmarkStart w:id="425" w:name="_Toc65230544"/>
      <w:bookmarkStart w:id="426" w:name="_Toc65230782"/>
      <w:bookmarkStart w:id="427" w:name="_Toc65232066"/>
      <w:bookmarkStart w:id="428" w:name="_Toc65232311"/>
      <w:bookmarkStart w:id="429" w:name="_Toc66716170"/>
      <w:bookmarkStart w:id="430" w:name="_Toc71097214"/>
      <w:bookmarkStart w:id="431" w:name="_Toc71097245"/>
      <w:bookmarkStart w:id="432" w:name="_Toc71097320"/>
      <w:bookmarkStart w:id="433" w:name="_Toc71108060"/>
      <w:bookmarkStart w:id="434" w:name="_Toc79055254"/>
      <w:bookmarkStart w:id="435" w:name="_Toc79055285"/>
      <w:bookmarkStart w:id="436" w:name="_Toc79060176"/>
      <w:bookmarkStart w:id="437" w:name="_Toc79060463"/>
      <w:bookmarkStart w:id="438" w:name="_Toc81307820"/>
      <w:bookmarkStart w:id="439" w:name="_Toc83376481"/>
      <w:bookmarkStart w:id="440" w:name="_Toc86386720"/>
      <w:bookmarkStart w:id="441" w:name="_Toc86405406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</w:p>
    <w:p w14:paraId="79B9A6E4" w14:textId="7EC188CE" w:rsidR="008B2529" w:rsidRPr="00E51982" w:rsidRDefault="00EA566E" w:rsidP="00EB6D9F">
      <w:pPr>
        <w:pStyle w:val="Ttulo2"/>
        <w:numPr>
          <w:ilvl w:val="1"/>
          <w:numId w:val="12"/>
        </w:numPr>
        <w:tabs>
          <w:tab w:val="left" w:pos="426"/>
        </w:tabs>
        <w:spacing w:before="0"/>
        <w:ind w:left="284" w:hanging="284"/>
        <w:rPr>
          <w:rFonts w:ascii="Times New Roman" w:hAnsi="Times New Roman" w:cs="Times New Roman"/>
          <w:color w:val="auto"/>
          <w:sz w:val="24"/>
        </w:rPr>
      </w:pPr>
      <w:bookmarkStart w:id="442" w:name="_Toc86405407"/>
      <w:r>
        <w:rPr>
          <w:rFonts w:ascii="Times New Roman" w:hAnsi="Times New Roman" w:cs="Times New Roman"/>
          <w:color w:val="auto"/>
          <w:sz w:val="24"/>
        </w:rPr>
        <w:t>Aumenta l</w:t>
      </w:r>
      <w:r w:rsidR="00A51947">
        <w:rPr>
          <w:rFonts w:ascii="Times New Roman" w:hAnsi="Times New Roman" w:cs="Times New Roman"/>
          <w:color w:val="auto"/>
          <w:sz w:val="24"/>
        </w:rPr>
        <w:t>a i</w:t>
      </w:r>
      <w:r w:rsidR="00D77222" w:rsidRPr="00E51982">
        <w:rPr>
          <w:rFonts w:ascii="Times New Roman" w:hAnsi="Times New Roman" w:cs="Times New Roman"/>
          <w:color w:val="auto"/>
          <w:sz w:val="24"/>
        </w:rPr>
        <w:t>nversión en activos no financieros</w:t>
      </w:r>
      <w:bookmarkEnd w:id="442"/>
      <w:r w:rsidR="00020F69">
        <w:rPr>
          <w:rFonts w:ascii="Times New Roman" w:hAnsi="Times New Roman" w:cs="Times New Roman"/>
          <w:color w:val="auto"/>
          <w:sz w:val="24"/>
        </w:rPr>
        <w:t xml:space="preserve"> </w:t>
      </w:r>
    </w:p>
    <w:p w14:paraId="1C62E993" w14:textId="40D18CFC" w:rsidR="00680F24" w:rsidRDefault="00EA4ED8" w:rsidP="00CD34D6">
      <w:pPr>
        <w:rPr>
          <w:rFonts w:cs="Times New Roman"/>
          <w:szCs w:val="22"/>
        </w:rPr>
      </w:pPr>
      <w:r>
        <w:rPr>
          <w:rFonts w:cs="Times New Roman"/>
          <w:szCs w:val="22"/>
        </w:rPr>
        <w:t xml:space="preserve">La </w:t>
      </w:r>
      <w:r w:rsidR="00E846F8">
        <w:rPr>
          <w:rFonts w:cs="Times New Roman"/>
          <w:szCs w:val="22"/>
        </w:rPr>
        <w:t xml:space="preserve">inversión bruta en activos no financieros </w:t>
      </w:r>
      <w:r w:rsidR="00261BEE">
        <w:rPr>
          <w:rFonts w:cs="Times New Roman"/>
          <w:szCs w:val="22"/>
        </w:rPr>
        <w:t xml:space="preserve">asciende a un total </w:t>
      </w:r>
      <w:r w:rsidR="00AE62F4">
        <w:rPr>
          <w:rFonts w:cs="Times New Roman"/>
          <w:szCs w:val="22"/>
        </w:rPr>
        <w:t>de Q</w:t>
      </w:r>
      <w:r w:rsidR="007A3DDC">
        <w:rPr>
          <w:rFonts w:cs="Times New Roman"/>
          <w:szCs w:val="22"/>
        </w:rPr>
        <w:t>2</w:t>
      </w:r>
      <w:r w:rsidR="009F70A9">
        <w:rPr>
          <w:rFonts w:cs="Times New Roman"/>
          <w:szCs w:val="22"/>
        </w:rPr>
        <w:t>,</w:t>
      </w:r>
      <w:r w:rsidR="007A3DDC">
        <w:rPr>
          <w:rFonts w:cs="Times New Roman"/>
          <w:szCs w:val="22"/>
        </w:rPr>
        <w:t>222</w:t>
      </w:r>
      <w:r w:rsidR="00E846F8">
        <w:rPr>
          <w:rFonts w:cs="Times New Roman"/>
          <w:szCs w:val="22"/>
        </w:rPr>
        <w:t>.</w:t>
      </w:r>
      <w:r w:rsidR="007A3DDC">
        <w:rPr>
          <w:rFonts w:cs="Times New Roman"/>
          <w:szCs w:val="22"/>
        </w:rPr>
        <w:t>9</w:t>
      </w:r>
      <w:r w:rsidR="00E846F8">
        <w:rPr>
          <w:rFonts w:cs="Times New Roman"/>
          <w:szCs w:val="22"/>
        </w:rPr>
        <w:t xml:space="preserve"> millones</w:t>
      </w:r>
      <w:r w:rsidR="00AA32B8">
        <w:rPr>
          <w:rFonts w:cs="Times New Roman"/>
          <w:szCs w:val="22"/>
        </w:rPr>
        <w:t>,</w:t>
      </w:r>
      <w:r w:rsidR="007A3DDC">
        <w:rPr>
          <w:rFonts w:cs="Times New Roman"/>
          <w:szCs w:val="22"/>
        </w:rPr>
        <w:t xml:space="preserve"> al tercer trimestre de </w:t>
      </w:r>
      <w:r w:rsidR="00AA32B8">
        <w:rPr>
          <w:rFonts w:cs="Times New Roman"/>
          <w:szCs w:val="22"/>
        </w:rPr>
        <w:t>2021</w:t>
      </w:r>
      <w:r w:rsidR="00F85A0C">
        <w:rPr>
          <w:rFonts w:cs="Times New Roman"/>
          <w:szCs w:val="22"/>
        </w:rPr>
        <w:t>, es</w:t>
      </w:r>
      <w:r w:rsidR="007A3DDC">
        <w:rPr>
          <w:rFonts w:cs="Times New Roman"/>
          <w:szCs w:val="22"/>
        </w:rPr>
        <w:t xml:space="preserve">te es un </w:t>
      </w:r>
      <w:r w:rsidR="009F70A9">
        <w:rPr>
          <w:rFonts w:cs="Times New Roman"/>
          <w:szCs w:val="22"/>
        </w:rPr>
        <w:t xml:space="preserve">incremento interanual del </w:t>
      </w:r>
      <w:r w:rsidR="002566E6">
        <w:rPr>
          <w:rFonts w:cs="Times New Roman"/>
          <w:szCs w:val="22"/>
        </w:rPr>
        <w:t>1</w:t>
      </w:r>
      <w:r w:rsidR="00AA0229">
        <w:rPr>
          <w:rFonts w:cs="Times New Roman"/>
          <w:szCs w:val="22"/>
        </w:rPr>
        <w:t>6.</w:t>
      </w:r>
      <w:r w:rsidR="0056004E">
        <w:rPr>
          <w:rFonts w:cs="Times New Roman"/>
          <w:szCs w:val="22"/>
        </w:rPr>
        <w:t>1</w:t>
      </w:r>
      <w:r w:rsidR="00107432">
        <w:rPr>
          <w:rFonts w:cs="Times New Roman"/>
          <w:szCs w:val="22"/>
        </w:rPr>
        <w:t>% (Q</w:t>
      </w:r>
      <w:r w:rsidR="0056004E">
        <w:rPr>
          <w:rFonts w:cs="Times New Roman"/>
          <w:szCs w:val="22"/>
        </w:rPr>
        <w:t>309</w:t>
      </w:r>
      <w:r w:rsidR="00107432">
        <w:rPr>
          <w:rFonts w:cs="Times New Roman"/>
          <w:szCs w:val="22"/>
        </w:rPr>
        <w:t>.</w:t>
      </w:r>
      <w:r w:rsidR="00AA0229">
        <w:rPr>
          <w:rFonts w:cs="Times New Roman"/>
          <w:szCs w:val="22"/>
        </w:rPr>
        <w:t>0</w:t>
      </w:r>
      <w:r w:rsidR="00107432">
        <w:rPr>
          <w:rFonts w:cs="Times New Roman"/>
          <w:szCs w:val="22"/>
        </w:rPr>
        <w:t xml:space="preserve"> millones)</w:t>
      </w:r>
      <w:r w:rsidR="00AA32B8">
        <w:rPr>
          <w:rFonts w:cs="Times New Roman"/>
          <w:szCs w:val="22"/>
        </w:rPr>
        <w:t xml:space="preserve"> con respecto al año previo</w:t>
      </w:r>
      <w:r w:rsidR="0056004E">
        <w:rPr>
          <w:rFonts w:cs="Times New Roman"/>
          <w:szCs w:val="22"/>
        </w:rPr>
        <w:t xml:space="preserve"> </w:t>
      </w:r>
      <w:r w:rsidR="00F85A0C">
        <w:rPr>
          <w:rFonts w:cs="Times New Roman"/>
          <w:szCs w:val="22"/>
        </w:rPr>
        <w:t xml:space="preserve">y </w:t>
      </w:r>
      <w:r w:rsidR="0056004E">
        <w:rPr>
          <w:rFonts w:cs="Times New Roman"/>
          <w:szCs w:val="22"/>
        </w:rPr>
        <w:t xml:space="preserve">siendo </w:t>
      </w:r>
      <w:r w:rsidR="008E70CC">
        <w:rPr>
          <w:rFonts w:cs="Times New Roman"/>
          <w:szCs w:val="22"/>
        </w:rPr>
        <w:t xml:space="preserve">los </w:t>
      </w:r>
      <w:r w:rsidR="00280D80">
        <w:rPr>
          <w:rFonts w:cs="Times New Roman"/>
          <w:szCs w:val="22"/>
        </w:rPr>
        <w:t>activos fijos</w:t>
      </w:r>
      <w:r w:rsidR="00AF7CC4">
        <w:rPr>
          <w:rFonts w:cs="Times New Roman"/>
          <w:szCs w:val="22"/>
        </w:rPr>
        <w:t xml:space="preserve"> los </w:t>
      </w:r>
      <w:r w:rsidR="009259BA">
        <w:rPr>
          <w:rFonts w:cs="Times New Roman"/>
          <w:szCs w:val="22"/>
        </w:rPr>
        <w:t xml:space="preserve">que </w:t>
      </w:r>
      <w:r w:rsidR="00A22443">
        <w:rPr>
          <w:rFonts w:cs="Times New Roman"/>
          <w:szCs w:val="22"/>
        </w:rPr>
        <w:t>están generando</w:t>
      </w:r>
      <w:r w:rsidR="00AF7CC4">
        <w:rPr>
          <w:rFonts w:cs="Times New Roman"/>
          <w:szCs w:val="22"/>
        </w:rPr>
        <w:t xml:space="preserve"> </w:t>
      </w:r>
      <w:r w:rsidR="00240382">
        <w:rPr>
          <w:rFonts w:cs="Times New Roman"/>
          <w:szCs w:val="22"/>
        </w:rPr>
        <w:t>e</w:t>
      </w:r>
      <w:r w:rsidR="00A22443">
        <w:rPr>
          <w:rFonts w:cs="Times New Roman"/>
          <w:szCs w:val="22"/>
        </w:rPr>
        <w:t>ste</w:t>
      </w:r>
      <w:r w:rsidR="00240382">
        <w:rPr>
          <w:rFonts w:cs="Times New Roman"/>
          <w:szCs w:val="22"/>
        </w:rPr>
        <w:t xml:space="preserve"> dinamismo, </w:t>
      </w:r>
      <w:r w:rsidR="003D6D91">
        <w:rPr>
          <w:rFonts w:cs="Times New Roman"/>
          <w:szCs w:val="22"/>
        </w:rPr>
        <w:t xml:space="preserve">de los cuales destaca </w:t>
      </w:r>
      <w:r w:rsidR="00B435E7">
        <w:rPr>
          <w:rFonts w:cs="Times New Roman"/>
          <w:szCs w:val="22"/>
        </w:rPr>
        <w:t>el de</w:t>
      </w:r>
      <w:r w:rsidR="003D6D91">
        <w:rPr>
          <w:rFonts w:cs="Times New Roman"/>
          <w:szCs w:val="22"/>
        </w:rPr>
        <w:t xml:space="preserve"> edificios y estructuras que ascienden a un total de Q</w:t>
      </w:r>
      <w:r w:rsidR="00F85A0C">
        <w:rPr>
          <w:rFonts w:cs="Times New Roman"/>
          <w:szCs w:val="22"/>
        </w:rPr>
        <w:t>1,983.6</w:t>
      </w:r>
      <w:r w:rsidR="005E2286">
        <w:rPr>
          <w:rFonts w:cs="Times New Roman"/>
          <w:szCs w:val="22"/>
        </w:rPr>
        <w:t xml:space="preserve"> millones con una variación interanual del 12.3% (Q218.0 millones)</w:t>
      </w:r>
      <w:r w:rsidR="00AE65C5">
        <w:rPr>
          <w:rFonts w:cs="Times New Roman"/>
          <w:szCs w:val="22"/>
        </w:rPr>
        <w:t>.</w:t>
      </w:r>
    </w:p>
    <w:p w14:paraId="0F253135" w14:textId="77777777" w:rsidR="00F3371E" w:rsidRDefault="00F3371E" w:rsidP="00CD34D6">
      <w:pPr>
        <w:rPr>
          <w:rFonts w:cs="Times New Roman"/>
          <w:szCs w:val="22"/>
        </w:rPr>
      </w:pPr>
    </w:p>
    <w:p w14:paraId="26962EA2" w14:textId="2DF85C65" w:rsidR="008072E4" w:rsidRPr="00AC1506" w:rsidRDefault="0075669C" w:rsidP="00201CD8">
      <w:pPr>
        <w:jc w:val="center"/>
        <w:rPr>
          <w:rFonts w:cs="Times New Roman"/>
          <w:szCs w:val="22"/>
        </w:rPr>
      </w:pPr>
      <w:r w:rsidRPr="00AC1506">
        <w:rPr>
          <w:rFonts w:cs="Times New Roman"/>
          <w:noProof/>
          <w:szCs w:val="22"/>
          <w:lang w:eastAsia="es-GT"/>
        </w:rPr>
        <w:drawing>
          <wp:inline distT="0" distB="0" distL="0" distR="0" wp14:anchorId="2BFD5ABF" wp14:editId="096BDD6B">
            <wp:extent cx="5728970" cy="2277373"/>
            <wp:effectExtent l="0" t="0" r="5080" b="8890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231656E6" w14:textId="77777777" w:rsidR="00B435E7" w:rsidRDefault="001D54E4" w:rsidP="007B2224">
      <w:pPr>
        <w:pStyle w:val="Prrafodelista"/>
        <w:numPr>
          <w:ilvl w:val="0"/>
          <w:numId w:val="1"/>
        </w:numPr>
        <w:ind w:left="426" w:hanging="426"/>
        <w:outlineLvl w:val="0"/>
        <w:rPr>
          <w:rFonts w:cs="Times New Roman"/>
          <w:b/>
          <w:sz w:val="24"/>
          <w:lang w:val="es-MX"/>
        </w:rPr>
      </w:pPr>
      <w:bookmarkStart w:id="443" w:name="_Toc42023966"/>
      <w:bookmarkStart w:id="444" w:name="_Toc42024017"/>
      <w:bookmarkStart w:id="445" w:name="_Toc42023967"/>
      <w:bookmarkStart w:id="446" w:name="_Toc42024018"/>
      <w:bookmarkStart w:id="447" w:name="_Toc86405408"/>
      <w:bookmarkEnd w:id="443"/>
      <w:bookmarkEnd w:id="444"/>
      <w:bookmarkEnd w:id="445"/>
      <w:bookmarkEnd w:id="446"/>
      <w:r>
        <w:rPr>
          <w:rFonts w:cs="Times New Roman"/>
          <w:b/>
          <w:sz w:val="24"/>
          <w:lang w:val="es-MX"/>
        </w:rPr>
        <w:t>Financiamiento</w:t>
      </w:r>
      <w:bookmarkEnd w:id="447"/>
    </w:p>
    <w:p w14:paraId="58AB0962" w14:textId="77777777" w:rsidR="000F19C1" w:rsidRPr="000F19C1" w:rsidRDefault="000F19C1" w:rsidP="000F19C1">
      <w:pPr>
        <w:pStyle w:val="Prrafodelista"/>
        <w:keepNext/>
        <w:keepLines/>
        <w:numPr>
          <w:ilvl w:val="0"/>
          <w:numId w:val="12"/>
        </w:numPr>
        <w:tabs>
          <w:tab w:val="left" w:pos="426"/>
        </w:tabs>
        <w:spacing w:after="12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eastAsia="es-ES"/>
        </w:rPr>
      </w:pPr>
      <w:bookmarkStart w:id="448" w:name="_Toc55374005"/>
      <w:bookmarkStart w:id="449" w:name="_Toc55375142"/>
      <w:bookmarkStart w:id="450" w:name="_Toc55396550"/>
      <w:bookmarkStart w:id="451" w:name="_Toc65230547"/>
      <w:bookmarkStart w:id="452" w:name="_Toc65230785"/>
      <w:bookmarkStart w:id="453" w:name="_Toc65232069"/>
      <w:bookmarkStart w:id="454" w:name="_Toc65232314"/>
      <w:bookmarkStart w:id="455" w:name="_Toc66716173"/>
      <w:bookmarkStart w:id="456" w:name="_Toc71097217"/>
      <w:bookmarkStart w:id="457" w:name="_Toc71097248"/>
      <w:bookmarkStart w:id="458" w:name="_Toc71097323"/>
      <w:bookmarkStart w:id="459" w:name="_Toc71108063"/>
      <w:bookmarkStart w:id="460" w:name="_Toc79055257"/>
      <w:bookmarkStart w:id="461" w:name="_Toc79055288"/>
      <w:bookmarkStart w:id="462" w:name="_Toc79060179"/>
      <w:bookmarkStart w:id="463" w:name="_Toc79060466"/>
      <w:bookmarkStart w:id="464" w:name="_Toc81307823"/>
      <w:bookmarkStart w:id="465" w:name="_Toc83376484"/>
      <w:bookmarkStart w:id="466" w:name="_Toc86386723"/>
      <w:bookmarkStart w:id="467" w:name="_Toc86405409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</w:p>
    <w:p w14:paraId="2FB0B61E" w14:textId="11CFAC9F" w:rsidR="004F6CEF" w:rsidRPr="007B2224" w:rsidRDefault="00AF35F4" w:rsidP="000F19C1">
      <w:pPr>
        <w:pStyle w:val="Ttulo2"/>
        <w:numPr>
          <w:ilvl w:val="1"/>
          <w:numId w:val="12"/>
        </w:numPr>
        <w:tabs>
          <w:tab w:val="left" w:pos="426"/>
        </w:tabs>
        <w:spacing w:before="0"/>
        <w:rPr>
          <w:rFonts w:ascii="Times New Roman" w:hAnsi="Times New Roman" w:cs="Times New Roman"/>
          <w:color w:val="auto"/>
          <w:sz w:val="24"/>
        </w:rPr>
      </w:pPr>
      <w:bookmarkStart w:id="468" w:name="_Toc86405410"/>
      <w:r>
        <w:rPr>
          <w:rFonts w:ascii="Times New Roman" w:hAnsi="Times New Roman" w:cs="Times New Roman"/>
          <w:color w:val="auto"/>
          <w:sz w:val="24"/>
        </w:rPr>
        <w:t>Disp</w:t>
      </w:r>
      <w:r w:rsidR="00767B6E">
        <w:rPr>
          <w:rFonts w:ascii="Times New Roman" w:hAnsi="Times New Roman" w:cs="Times New Roman"/>
          <w:color w:val="auto"/>
          <w:sz w:val="24"/>
        </w:rPr>
        <w:t>onibilidad</w:t>
      </w:r>
      <w:r w:rsidR="008D44C7" w:rsidRPr="007B2224">
        <w:rPr>
          <w:rFonts w:ascii="Times New Roman" w:hAnsi="Times New Roman" w:cs="Times New Roman"/>
          <w:color w:val="auto"/>
          <w:sz w:val="24"/>
        </w:rPr>
        <w:t xml:space="preserve"> de activos financieros</w:t>
      </w:r>
      <w:bookmarkEnd w:id="468"/>
    </w:p>
    <w:p w14:paraId="7A4E7AE2" w14:textId="5830D6FC" w:rsidR="006D1A13" w:rsidRDefault="008277CA" w:rsidP="00F46ECF">
      <w:r>
        <w:t xml:space="preserve">El </w:t>
      </w:r>
      <w:r w:rsidR="00E25FE4">
        <w:t xml:space="preserve">incurrimiento de activos financieros </w:t>
      </w:r>
      <w:r w:rsidR="00465EC0">
        <w:t xml:space="preserve">se encuentra en los </w:t>
      </w:r>
      <w:r w:rsidR="001D17CB">
        <w:t xml:space="preserve">Q7,780.8 </w:t>
      </w:r>
      <w:r w:rsidR="003227AE">
        <w:t>millones</w:t>
      </w:r>
      <w:r>
        <w:t xml:space="preserve"> al finalizar el tercer trimestre</w:t>
      </w:r>
      <w:r w:rsidR="00B435E7">
        <w:t xml:space="preserve"> de 2021</w:t>
      </w:r>
      <w:r w:rsidR="003227AE">
        <w:t xml:space="preserve"> </w:t>
      </w:r>
      <w:r w:rsidR="00E61FDF">
        <w:t>y de</w:t>
      </w:r>
      <w:r w:rsidR="001D17CB">
        <w:t xml:space="preserve"> este mismo, </w:t>
      </w:r>
      <w:r w:rsidR="002006B9">
        <w:t xml:space="preserve">la cuenta </w:t>
      </w:r>
      <w:r w:rsidR="0051153F">
        <w:t xml:space="preserve">de </w:t>
      </w:r>
      <w:r w:rsidR="0051153F" w:rsidRPr="009833D8">
        <w:t>Billetes, Monedas y Depósitos</w:t>
      </w:r>
      <w:r w:rsidR="0051153F">
        <w:t xml:space="preserve"> </w:t>
      </w:r>
      <w:r w:rsidR="00B435E7">
        <w:t xml:space="preserve">se ubica </w:t>
      </w:r>
      <w:r w:rsidR="000B5075">
        <w:t xml:space="preserve">al mes de septiembre </w:t>
      </w:r>
      <w:r w:rsidR="00B435E7">
        <w:t>en</w:t>
      </w:r>
      <w:r w:rsidR="000B5075">
        <w:t xml:space="preserve"> Q7</w:t>
      </w:r>
      <w:r w:rsidR="00546DFB">
        <w:t xml:space="preserve">,774.8 </w:t>
      </w:r>
      <w:r w:rsidR="00E61FDF">
        <w:t>millones</w:t>
      </w:r>
      <w:r w:rsidR="008E31DB">
        <w:t xml:space="preserve">. </w:t>
      </w:r>
      <w:r w:rsidR="00B435E7">
        <w:t xml:space="preserve">Es importante </w:t>
      </w:r>
      <w:r w:rsidR="00546DFB">
        <w:t>mencionar que</w:t>
      </w:r>
      <w:r w:rsidR="00B435E7">
        <w:t xml:space="preserve"> en este rubro </w:t>
      </w:r>
      <w:r w:rsidR="00546DFB">
        <w:t xml:space="preserve">en los meses de agosto y septiembre se experimentaron </w:t>
      </w:r>
      <w:r w:rsidR="00CA2FE5">
        <w:t>disminuciones</w:t>
      </w:r>
      <w:r w:rsidR="003227AE">
        <w:t xml:space="preserve"> por </w:t>
      </w:r>
      <w:r w:rsidR="001927C6">
        <w:t>Q3,75</w:t>
      </w:r>
      <w:r w:rsidR="002471A8">
        <w:t>4</w:t>
      </w:r>
      <w:r w:rsidR="001927C6">
        <w:t>.</w:t>
      </w:r>
      <w:r w:rsidR="002471A8">
        <w:t>2</w:t>
      </w:r>
      <w:r w:rsidR="001927C6">
        <w:t xml:space="preserve"> millones.</w:t>
      </w:r>
      <w:r w:rsidR="00CA2FE5">
        <w:t xml:space="preserve"> </w:t>
      </w:r>
      <w:r w:rsidR="004C550A">
        <w:t>Por su parte, e</w:t>
      </w:r>
      <w:r w:rsidR="007E0CD5">
        <w:t xml:space="preserve">l flujo </w:t>
      </w:r>
      <w:r w:rsidR="00E61FDF">
        <w:t>restante de</w:t>
      </w:r>
      <w:r w:rsidR="00B47047">
        <w:t xml:space="preserve"> los activos </w:t>
      </w:r>
      <w:r w:rsidR="004C550A">
        <w:t>financieros</w:t>
      </w:r>
      <w:r w:rsidR="00B47047">
        <w:t xml:space="preserve"> </w:t>
      </w:r>
      <w:r w:rsidR="00465EC0">
        <w:t>proviene de</w:t>
      </w:r>
      <w:r w:rsidR="00B47047">
        <w:t xml:space="preserve"> la cuenta de</w:t>
      </w:r>
      <w:r w:rsidR="00465EC0">
        <w:t xml:space="preserve"> </w:t>
      </w:r>
      <w:r w:rsidR="00D43428">
        <w:t>préstamos</w:t>
      </w:r>
      <w:r w:rsidR="007E0CD5">
        <w:t xml:space="preserve"> </w:t>
      </w:r>
      <w:r w:rsidR="00B47047">
        <w:t xml:space="preserve">que se </w:t>
      </w:r>
      <w:r w:rsidR="00E61FDF">
        <w:t>increment</w:t>
      </w:r>
      <w:r w:rsidR="00B435E7">
        <w:t>aron</w:t>
      </w:r>
      <w:r w:rsidR="00B47047">
        <w:t xml:space="preserve"> en </w:t>
      </w:r>
      <w:r w:rsidR="005562DF">
        <w:t>Q</w:t>
      </w:r>
      <w:r w:rsidR="00B47047">
        <w:t xml:space="preserve">6.0 </w:t>
      </w:r>
      <w:r w:rsidR="005562DF">
        <w:t>millones</w:t>
      </w:r>
      <w:r w:rsidR="00465EC0">
        <w:t>.</w:t>
      </w:r>
    </w:p>
    <w:p w14:paraId="3C380502" w14:textId="77777777" w:rsidR="004C550A" w:rsidRPr="008E31DB" w:rsidRDefault="004C550A" w:rsidP="00F46ECF"/>
    <w:p w14:paraId="10F8F297" w14:textId="25CC669B" w:rsidR="00470A42" w:rsidRPr="00AC1506" w:rsidRDefault="00470A42" w:rsidP="001A4D7B">
      <w:pPr>
        <w:jc w:val="center"/>
        <w:rPr>
          <w:b/>
          <w:bCs/>
        </w:rPr>
      </w:pPr>
      <w:r w:rsidRPr="00AC1506">
        <w:rPr>
          <w:b/>
          <w:bCs/>
        </w:rPr>
        <w:t xml:space="preserve">Incurrimiento neto de </w:t>
      </w:r>
      <w:r w:rsidR="00512290">
        <w:rPr>
          <w:b/>
          <w:bCs/>
        </w:rPr>
        <w:t>activos financieros</w:t>
      </w:r>
      <w:r w:rsidRPr="00AC1506">
        <w:rPr>
          <w:b/>
          <w:bCs/>
        </w:rPr>
        <w:t xml:space="preserve"> </w:t>
      </w:r>
      <w:r w:rsidR="00FD7002">
        <w:rPr>
          <w:b/>
          <w:bCs/>
        </w:rPr>
        <w:t xml:space="preserve">a septiembre de </w:t>
      </w:r>
      <w:r w:rsidR="00ED71F1">
        <w:rPr>
          <w:b/>
          <w:bCs/>
        </w:rPr>
        <w:t>2021</w:t>
      </w:r>
      <w:r w:rsidRPr="00AC1506">
        <w:rPr>
          <w:b/>
          <w:bCs/>
        </w:rPr>
        <w:t>*</w:t>
      </w:r>
    </w:p>
    <w:p w14:paraId="6C188EF3" w14:textId="2A6ECBE8" w:rsidR="00470A42" w:rsidRDefault="00470A42" w:rsidP="006D1A13">
      <w:pPr>
        <w:jc w:val="center"/>
      </w:pPr>
      <w:r w:rsidRPr="00AC1506">
        <w:rPr>
          <w:sz w:val="20"/>
          <w:szCs w:val="22"/>
        </w:rPr>
        <w:t xml:space="preserve">En millones de </w:t>
      </w:r>
      <w:r w:rsidR="003D1F3C">
        <w:rPr>
          <w:sz w:val="20"/>
          <w:szCs w:val="22"/>
        </w:rPr>
        <w:t>q</w:t>
      </w:r>
      <w:r w:rsidRPr="00AC1506">
        <w:rPr>
          <w:sz w:val="20"/>
          <w:szCs w:val="22"/>
        </w:rPr>
        <w:t>uetzales</w:t>
      </w:r>
      <w:r w:rsidR="003D1F3C">
        <w:rPr>
          <w:sz w:val="20"/>
          <w:szCs w:val="22"/>
        </w:rPr>
        <w:t xml:space="preserve"> y porcentajes</w:t>
      </w:r>
    </w:p>
    <w:p w14:paraId="79DAC537" w14:textId="37C9953E" w:rsidR="00731535" w:rsidRPr="00470A42" w:rsidRDefault="00731535" w:rsidP="006D1A13">
      <w:pPr>
        <w:jc w:val="center"/>
      </w:pPr>
      <w:r>
        <w:rPr>
          <w:b/>
          <w:bCs/>
          <w:noProof/>
          <w:lang w:eastAsia="es-GT"/>
        </w:rPr>
        <w:drawing>
          <wp:inline distT="0" distB="0" distL="0" distR="0" wp14:anchorId="6005C3D5" wp14:editId="5AB324A1">
            <wp:extent cx="3267173" cy="1612265"/>
            <wp:effectExtent l="0" t="0" r="0" b="6985"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FC3031">
        <w:rPr>
          <w:noProof/>
          <w:lang w:eastAsia="es-GT"/>
        </w:rPr>
        <w:drawing>
          <wp:inline distT="0" distB="0" distL="0" distR="0" wp14:anchorId="4B6F4942" wp14:editId="73E449E7">
            <wp:extent cx="2600077" cy="1645920"/>
            <wp:effectExtent l="0" t="0" r="0" 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6419312B" w14:textId="149F8931" w:rsidR="001E71BF" w:rsidRPr="00AC1506" w:rsidRDefault="001E71BF" w:rsidP="001E71BF">
      <w:pPr>
        <w:rPr>
          <w:rFonts w:cs="Times New Roman"/>
          <w:sz w:val="16"/>
          <w:szCs w:val="22"/>
          <w:lang w:val="es-MX"/>
        </w:rPr>
      </w:pPr>
      <w:r w:rsidRPr="00AC1506">
        <w:rPr>
          <w:rFonts w:cs="Times New Roman"/>
          <w:sz w:val="16"/>
          <w:szCs w:val="22"/>
          <w:lang w:val="es-MX"/>
        </w:rPr>
        <w:t>*Cifras preliminares</w:t>
      </w:r>
    </w:p>
    <w:p w14:paraId="35802C64" w14:textId="2212354A" w:rsidR="001E71BF" w:rsidRDefault="001E71BF" w:rsidP="001E71BF">
      <w:pPr>
        <w:rPr>
          <w:rFonts w:cs="Times New Roman"/>
          <w:sz w:val="16"/>
          <w:szCs w:val="22"/>
          <w:lang w:val="es-MX"/>
        </w:rPr>
      </w:pPr>
      <w:r w:rsidRPr="00AC1506">
        <w:rPr>
          <w:rFonts w:cs="Times New Roman"/>
          <w:sz w:val="16"/>
          <w:szCs w:val="22"/>
          <w:lang w:val="es-MX"/>
        </w:rPr>
        <w:t>Fuente: MINFIN</w:t>
      </w:r>
    </w:p>
    <w:p w14:paraId="4C082A4D" w14:textId="21CBDE2D" w:rsidR="003554AC" w:rsidRPr="00AC1506" w:rsidRDefault="00B4230B" w:rsidP="00EB6D9F">
      <w:pPr>
        <w:pStyle w:val="Ttulo2"/>
        <w:numPr>
          <w:ilvl w:val="1"/>
          <w:numId w:val="12"/>
        </w:numPr>
        <w:tabs>
          <w:tab w:val="left" w:pos="426"/>
        </w:tabs>
        <w:spacing w:before="0"/>
        <w:ind w:left="284" w:hanging="284"/>
        <w:rPr>
          <w:rFonts w:ascii="Times New Roman" w:hAnsi="Times New Roman" w:cs="Times New Roman"/>
          <w:color w:val="auto"/>
          <w:sz w:val="24"/>
        </w:rPr>
      </w:pPr>
      <w:bookmarkStart w:id="469" w:name="_Toc86405411"/>
      <w:r>
        <w:rPr>
          <w:rFonts w:ascii="Times New Roman" w:hAnsi="Times New Roman" w:cs="Times New Roman"/>
          <w:color w:val="auto"/>
          <w:sz w:val="24"/>
        </w:rPr>
        <w:lastRenderedPageBreak/>
        <w:t>U</w:t>
      </w:r>
      <w:r w:rsidR="00C35F85">
        <w:rPr>
          <w:rFonts w:ascii="Times New Roman" w:hAnsi="Times New Roman" w:cs="Times New Roman"/>
          <w:color w:val="auto"/>
          <w:sz w:val="24"/>
        </w:rPr>
        <w:t>so</w:t>
      </w:r>
      <w:r w:rsidR="00FF503F">
        <w:rPr>
          <w:rFonts w:ascii="Times New Roman" w:hAnsi="Times New Roman" w:cs="Times New Roman"/>
          <w:color w:val="auto"/>
          <w:sz w:val="24"/>
        </w:rPr>
        <w:t xml:space="preserve"> </w:t>
      </w:r>
      <w:r w:rsidR="00C35F85">
        <w:rPr>
          <w:rFonts w:ascii="Times New Roman" w:hAnsi="Times New Roman" w:cs="Times New Roman"/>
          <w:color w:val="auto"/>
          <w:sz w:val="24"/>
        </w:rPr>
        <w:t>de</w:t>
      </w:r>
      <w:r w:rsidR="0006477B" w:rsidRPr="00AC1506">
        <w:rPr>
          <w:rFonts w:ascii="Times New Roman" w:hAnsi="Times New Roman" w:cs="Times New Roman"/>
          <w:color w:val="auto"/>
          <w:sz w:val="24"/>
        </w:rPr>
        <w:t xml:space="preserve"> </w:t>
      </w:r>
      <w:r w:rsidR="004F7FAD" w:rsidRPr="00AC1506">
        <w:rPr>
          <w:rFonts w:ascii="Times New Roman" w:hAnsi="Times New Roman" w:cs="Times New Roman"/>
          <w:color w:val="auto"/>
          <w:sz w:val="24"/>
        </w:rPr>
        <w:t>pasivos</w:t>
      </w:r>
      <w:r w:rsidR="0089322A">
        <w:rPr>
          <w:rFonts w:ascii="Times New Roman" w:hAnsi="Times New Roman" w:cs="Times New Roman"/>
          <w:color w:val="auto"/>
          <w:sz w:val="24"/>
        </w:rPr>
        <w:t xml:space="preserve"> como fuente de financiamiento</w:t>
      </w:r>
      <w:bookmarkEnd w:id="469"/>
    </w:p>
    <w:p w14:paraId="5B3B9757" w14:textId="583BD8FD" w:rsidR="0074383C" w:rsidRPr="00AC1506" w:rsidRDefault="004C550A" w:rsidP="00122F2F">
      <w:r>
        <w:t>En lo referente al uso</w:t>
      </w:r>
      <w:r w:rsidR="009654D5">
        <w:t xml:space="preserve"> </w:t>
      </w:r>
      <w:r w:rsidR="003541D8">
        <w:t>de pasivos</w:t>
      </w:r>
      <w:r w:rsidR="009654D5">
        <w:t xml:space="preserve"> financieros, </w:t>
      </w:r>
      <w:r w:rsidR="00FA0735">
        <w:t>a</w:t>
      </w:r>
      <w:r w:rsidR="009654D5">
        <w:t xml:space="preserve">l final del tercer </w:t>
      </w:r>
      <w:r w:rsidR="001614F2">
        <w:t>trimestre</w:t>
      </w:r>
      <w:r w:rsidR="00B435E7">
        <w:t xml:space="preserve"> de 2021</w:t>
      </w:r>
      <w:r w:rsidR="001614F2">
        <w:t xml:space="preserve"> se incrementaron </w:t>
      </w:r>
      <w:r w:rsidR="007C752D">
        <w:t>en</w:t>
      </w:r>
      <w:r w:rsidR="002D4AEA">
        <w:t xml:space="preserve"> </w:t>
      </w:r>
      <w:r w:rsidR="00FF503F">
        <w:t>Q</w:t>
      </w:r>
      <w:r w:rsidR="007C752D">
        <w:t>1</w:t>
      </w:r>
      <w:r w:rsidR="00EE0F99">
        <w:t>3</w:t>
      </w:r>
      <w:r w:rsidR="001614F2">
        <w:t>,773</w:t>
      </w:r>
      <w:r w:rsidR="002D4AEA">
        <w:t>.</w:t>
      </w:r>
      <w:r w:rsidR="001614F2">
        <w:t>9</w:t>
      </w:r>
      <w:r w:rsidR="00FF503F">
        <w:t xml:space="preserve"> millones</w:t>
      </w:r>
      <w:r w:rsidR="00B435E7">
        <w:t>,</w:t>
      </w:r>
      <w:r w:rsidR="00A044F3">
        <w:t xml:space="preserve"> de los cuales </w:t>
      </w:r>
      <w:r w:rsidR="00FD0CEE">
        <w:t>Q16,216.8 millones</w:t>
      </w:r>
      <w:r w:rsidR="00B435E7">
        <w:t>,</w:t>
      </w:r>
      <w:r w:rsidR="00FD0CEE">
        <w:t xml:space="preserve"> </w:t>
      </w:r>
      <w:r w:rsidR="007133FE">
        <w:t>son</w:t>
      </w:r>
      <w:r w:rsidR="0031152E">
        <w:t xml:space="preserve"> </w:t>
      </w:r>
      <w:r w:rsidR="00F95229">
        <w:t>producto de</w:t>
      </w:r>
      <w:r w:rsidR="00C431E5">
        <w:t xml:space="preserve"> la colocación</w:t>
      </w:r>
      <w:r w:rsidR="003E2AD9">
        <w:t xml:space="preserve"> </w:t>
      </w:r>
      <w:r w:rsidR="004F757F">
        <w:t xml:space="preserve">neta </w:t>
      </w:r>
      <w:r w:rsidR="00C431E5">
        <w:t xml:space="preserve">de </w:t>
      </w:r>
      <w:r w:rsidR="00E87655">
        <w:t>títulos de deuda</w:t>
      </w:r>
      <w:r w:rsidR="00A24EC4">
        <w:t xml:space="preserve"> (bonos del tesoro)</w:t>
      </w:r>
      <w:r w:rsidR="00687B79">
        <w:t>, mientras que</w:t>
      </w:r>
      <w:r w:rsidR="00FD0CEE">
        <w:t xml:space="preserve"> los pr</w:t>
      </w:r>
      <w:r w:rsidR="00877340">
        <w:t>é</w:t>
      </w:r>
      <w:r w:rsidR="00FD0CEE">
        <w:t xml:space="preserve">stamos </w:t>
      </w:r>
      <w:r w:rsidR="00687B79">
        <w:t>reflejan una disminución (amortización)</w:t>
      </w:r>
      <w:r w:rsidR="00FB0C9C">
        <w:t xml:space="preserve"> </w:t>
      </w:r>
      <w:r w:rsidR="00687B79">
        <w:t xml:space="preserve">de </w:t>
      </w:r>
      <w:r w:rsidR="00CA37ED">
        <w:t>Q1,</w:t>
      </w:r>
      <w:r w:rsidR="00687B79">
        <w:t>955.1</w:t>
      </w:r>
      <w:r w:rsidR="00E75580">
        <w:t xml:space="preserve"> millones</w:t>
      </w:r>
      <w:r w:rsidR="00B435E7">
        <w:t>,</w:t>
      </w:r>
      <w:r w:rsidR="00687B79">
        <w:t xml:space="preserve"> </w:t>
      </w:r>
      <w:r w:rsidR="00A044F3">
        <w:t xml:space="preserve">al igual que las </w:t>
      </w:r>
      <w:r w:rsidR="00687B79">
        <w:t xml:space="preserve">otras cuentas por pagar </w:t>
      </w:r>
      <w:r w:rsidR="00F00BC5">
        <w:t>por Q487.7 millones</w:t>
      </w:r>
      <w:r w:rsidR="00F6275C">
        <w:t>.</w:t>
      </w:r>
    </w:p>
    <w:p w14:paraId="61716B5A" w14:textId="77777777" w:rsidR="00996BD9" w:rsidRPr="00AC1506" w:rsidRDefault="00996BD9" w:rsidP="00122F2F"/>
    <w:tbl>
      <w:tblPr>
        <w:tblStyle w:val="Tablaconcuadrcula"/>
        <w:tblW w:w="94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6"/>
        <w:gridCol w:w="4027"/>
      </w:tblGrid>
      <w:tr w:rsidR="0061446B" w:rsidRPr="00AC1506" w14:paraId="5A6B12E2" w14:textId="77777777" w:rsidTr="00A143C7">
        <w:trPr>
          <w:trHeight w:val="374"/>
          <w:jc w:val="center"/>
        </w:trPr>
        <w:tc>
          <w:tcPr>
            <w:tcW w:w="9423" w:type="dxa"/>
            <w:gridSpan w:val="2"/>
          </w:tcPr>
          <w:p w14:paraId="4C44021A" w14:textId="7A318724" w:rsidR="0061446B" w:rsidRPr="00AC1506" w:rsidRDefault="0061446B" w:rsidP="00E34A48">
            <w:pPr>
              <w:jc w:val="center"/>
              <w:rPr>
                <w:b/>
                <w:bCs/>
              </w:rPr>
            </w:pPr>
            <w:r w:rsidRPr="00AC1506">
              <w:rPr>
                <w:b/>
                <w:bCs/>
              </w:rPr>
              <w:t>Incurrimiento neto de pasivos</w:t>
            </w:r>
            <w:r w:rsidR="009D176B" w:rsidRPr="00AC1506">
              <w:rPr>
                <w:b/>
                <w:bCs/>
              </w:rPr>
              <w:t xml:space="preserve"> </w:t>
            </w:r>
            <w:r w:rsidR="00B435E7">
              <w:rPr>
                <w:b/>
                <w:bCs/>
              </w:rPr>
              <w:t xml:space="preserve">a septiembre de </w:t>
            </w:r>
            <w:r w:rsidR="009D176B" w:rsidRPr="00AC1506">
              <w:rPr>
                <w:b/>
                <w:bCs/>
              </w:rPr>
              <w:t>202</w:t>
            </w:r>
            <w:r w:rsidR="00DE1A37">
              <w:rPr>
                <w:b/>
                <w:bCs/>
              </w:rPr>
              <w:t>1</w:t>
            </w:r>
            <w:r w:rsidR="009D176B" w:rsidRPr="00AC1506">
              <w:rPr>
                <w:b/>
                <w:bCs/>
              </w:rPr>
              <w:t>*</w:t>
            </w:r>
          </w:p>
          <w:p w14:paraId="1D8D8D1B" w14:textId="68E6BD4C" w:rsidR="0061446B" w:rsidRPr="00AC1506" w:rsidRDefault="0061446B" w:rsidP="00E34A48">
            <w:pPr>
              <w:jc w:val="center"/>
            </w:pPr>
            <w:r w:rsidRPr="00AC1506">
              <w:rPr>
                <w:sz w:val="20"/>
                <w:szCs w:val="22"/>
              </w:rPr>
              <w:t xml:space="preserve">En </w:t>
            </w:r>
            <w:r w:rsidR="006535F3" w:rsidRPr="00AC1506">
              <w:rPr>
                <w:sz w:val="20"/>
                <w:szCs w:val="22"/>
              </w:rPr>
              <w:t>millones</w:t>
            </w:r>
            <w:r w:rsidRPr="00AC1506">
              <w:rPr>
                <w:sz w:val="20"/>
                <w:szCs w:val="22"/>
              </w:rPr>
              <w:t xml:space="preserve"> de Quetzales</w:t>
            </w:r>
          </w:p>
        </w:tc>
      </w:tr>
      <w:tr w:rsidR="00D36792" w:rsidRPr="00AC1506" w14:paraId="4F3B5502" w14:textId="77777777" w:rsidTr="00A143C7">
        <w:trPr>
          <w:trHeight w:val="4049"/>
          <w:jc w:val="center"/>
        </w:trPr>
        <w:tc>
          <w:tcPr>
            <w:tcW w:w="5396" w:type="dxa"/>
            <w:shd w:val="clear" w:color="auto" w:fill="auto"/>
          </w:tcPr>
          <w:p w14:paraId="58C04C48" w14:textId="506EDA07" w:rsidR="00F674B9" w:rsidRPr="00AC1506" w:rsidRDefault="00F674B9" w:rsidP="00E34A48">
            <w:r w:rsidRPr="00AC1506">
              <w:rPr>
                <w:noProof/>
                <w:lang w:eastAsia="es-GT"/>
              </w:rPr>
              <w:drawing>
                <wp:inline distT="0" distB="0" distL="0" distR="0" wp14:anchorId="4F3AC779" wp14:editId="3E509F1D">
                  <wp:extent cx="3370580" cy="2329132"/>
                  <wp:effectExtent l="0" t="0" r="1270" b="0"/>
                  <wp:docPr id="10" name="Gráfico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  <w:tc>
          <w:tcPr>
            <w:tcW w:w="4027" w:type="dxa"/>
          </w:tcPr>
          <w:p w14:paraId="643B3A60" w14:textId="2C0681A2" w:rsidR="00F674B9" w:rsidRPr="00AC1506" w:rsidRDefault="00311363" w:rsidP="00E34A48">
            <w:r w:rsidRPr="00AC1506">
              <w:rPr>
                <w:noProof/>
                <w:lang w:eastAsia="es-GT"/>
              </w:rPr>
              <w:drawing>
                <wp:inline distT="0" distB="0" distL="0" distR="0" wp14:anchorId="10A80184" wp14:editId="3A7DA60B">
                  <wp:extent cx="2548255" cy="2484407"/>
                  <wp:effectExtent l="0" t="0" r="4445" b="0"/>
                  <wp:docPr id="19" name="Gráfico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</w:tr>
    </w:tbl>
    <w:p w14:paraId="36D61A0C" w14:textId="43923855" w:rsidR="00F4077C" w:rsidRPr="00AC1506" w:rsidRDefault="00F4077C" w:rsidP="00C34A03">
      <w:pPr>
        <w:pStyle w:val="Prrafodelista"/>
        <w:numPr>
          <w:ilvl w:val="0"/>
          <w:numId w:val="1"/>
        </w:numPr>
        <w:ind w:left="426" w:hanging="426"/>
        <w:outlineLvl w:val="0"/>
        <w:rPr>
          <w:rFonts w:eastAsiaTheme="majorEastAsia" w:cs="Times New Roman"/>
          <w:b/>
          <w:bCs/>
          <w:sz w:val="24"/>
          <w:szCs w:val="26"/>
          <w:lang w:val="es-ES_tradnl" w:eastAsia="es-ES"/>
        </w:rPr>
      </w:pPr>
      <w:bookmarkStart w:id="470" w:name="_Toc42023970"/>
      <w:bookmarkStart w:id="471" w:name="_Toc42024021"/>
      <w:bookmarkStart w:id="472" w:name="_Toc42023971"/>
      <w:bookmarkStart w:id="473" w:name="_Toc42024022"/>
      <w:bookmarkStart w:id="474" w:name="_Toc42023972"/>
      <w:bookmarkStart w:id="475" w:name="_Toc42024023"/>
      <w:bookmarkStart w:id="476" w:name="_Toc42023973"/>
      <w:bookmarkStart w:id="477" w:name="_Toc42024024"/>
      <w:bookmarkStart w:id="478" w:name="_Toc86405412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r w:rsidRPr="00AC1506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t>Erogaciones</w:t>
      </w:r>
      <w:r w:rsidR="00B50E45" w:rsidRPr="00AC1506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t xml:space="preserve"> del Gobierno Central Presupuestario</w:t>
      </w:r>
      <w:bookmarkEnd w:id="478"/>
    </w:p>
    <w:p w14:paraId="05EC6345" w14:textId="162B0184" w:rsidR="007A76CD" w:rsidRPr="00AC1506" w:rsidRDefault="007A76CD" w:rsidP="00594050">
      <w:pPr>
        <w:rPr>
          <w:rFonts w:cs="Times New Roman"/>
        </w:rPr>
      </w:pPr>
      <w:r w:rsidRPr="00AC1506">
        <w:rPr>
          <w:rFonts w:eastAsiaTheme="majorEastAsia"/>
          <w:noProof/>
          <w:lang w:eastAsia="es-GT"/>
        </w:rPr>
        <w:drawing>
          <wp:inline distT="0" distB="0" distL="0" distR="0" wp14:anchorId="77325B34" wp14:editId="59961A01">
            <wp:extent cx="5836920" cy="876300"/>
            <wp:effectExtent l="76200" t="38100" r="87630" b="114300"/>
            <wp:docPr id="22" name="Diagrama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14:paraId="610733CC" w14:textId="77777777" w:rsidR="000F19C1" w:rsidRPr="000F19C1" w:rsidRDefault="000F19C1" w:rsidP="000F19C1">
      <w:pPr>
        <w:pStyle w:val="Prrafodelista"/>
        <w:keepNext/>
        <w:keepLines/>
        <w:numPr>
          <w:ilvl w:val="0"/>
          <w:numId w:val="43"/>
        </w:numPr>
        <w:tabs>
          <w:tab w:val="left" w:pos="426"/>
        </w:tabs>
        <w:spacing w:after="12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eastAsia="es-ES"/>
        </w:rPr>
      </w:pPr>
      <w:bookmarkStart w:id="479" w:name="_Toc42023975"/>
      <w:bookmarkStart w:id="480" w:name="_Toc42024026"/>
      <w:bookmarkStart w:id="481" w:name="_Toc42069116"/>
      <w:bookmarkStart w:id="482" w:name="_Toc49422062"/>
      <w:bookmarkStart w:id="483" w:name="_Toc49422088"/>
      <w:bookmarkStart w:id="484" w:name="_Toc49430667"/>
      <w:bookmarkStart w:id="485" w:name="_Toc49430693"/>
      <w:bookmarkStart w:id="486" w:name="_Toc49750470"/>
      <w:bookmarkStart w:id="487" w:name="_Toc49750720"/>
      <w:bookmarkStart w:id="488" w:name="_Toc49750748"/>
      <w:bookmarkStart w:id="489" w:name="_Toc55284834"/>
      <w:bookmarkStart w:id="490" w:name="_Toc55298852"/>
      <w:bookmarkStart w:id="491" w:name="_Toc55373835"/>
      <w:bookmarkStart w:id="492" w:name="_Toc55374009"/>
      <w:bookmarkStart w:id="493" w:name="_Toc55375146"/>
      <w:bookmarkStart w:id="494" w:name="_Toc55396554"/>
      <w:bookmarkStart w:id="495" w:name="_Toc65230551"/>
      <w:bookmarkStart w:id="496" w:name="_Toc65230789"/>
      <w:bookmarkStart w:id="497" w:name="_Toc65232073"/>
      <w:bookmarkStart w:id="498" w:name="_Toc65232318"/>
      <w:bookmarkStart w:id="499" w:name="_Toc66716177"/>
      <w:bookmarkStart w:id="500" w:name="_Toc71097221"/>
      <w:bookmarkStart w:id="501" w:name="_Toc71097252"/>
      <w:bookmarkStart w:id="502" w:name="_Toc71097327"/>
      <w:bookmarkStart w:id="503" w:name="_Toc71108067"/>
      <w:bookmarkStart w:id="504" w:name="_Toc79055261"/>
      <w:bookmarkStart w:id="505" w:name="_Toc79055292"/>
      <w:bookmarkStart w:id="506" w:name="_Toc79060183"/>
      <w:bookmarkStart w:id="507" w:name="_Toc79060470"/>
      <w:bookmarkStart w:id="508" w:name="_Toc81307827"/>
      <w:bookmarkStart w:id="509" w:name="_Toc83376488"/>
      <w:bookmarkStart w:id="510" w:name="_Toc86386727"/>
      <w:bookmarkStart w:id="511" w:name="_Toc86405413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</w:p>
    <w:p w14:paraId="7A2C8EAB" w14:textId="77777777" w:rsidR="000F19C1" w:rsidRPr="000F19C1" w:rsidRDefault="000F19C1" w:rsidP="000F19C1">
      <w:pPr>
        <w:pStyle w:val="Prrafodelista"/>
        <w:keepNext/>
        <w:keepLines/>
        <w:numPr>
          <w:ilvl w:val="0"/>
          <w:numId w:val="43"/>
        </w:numPr>
        <w:tabs>
          <w:tab w:val="left" w:pos="426"/>
        </w:tabs>
        <w:spacing w:after="12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eastAsia="es-ES"/>
        </w:rPr>
      </w:pPr>
      <w:bookmarkStart w:id="512" w:name="_Toc55374010"/>
      <w:bookmarkStart w:id="513" w:name="_Toc55375147"/>
      <w:bookmarkStart w:id="514" w:name="_Toc55396555"/>
      <w:bookmarkStart w:id="515" w:name="_Toc65230552"/>
      <w:bookmarkStart w:id="516" w:name="_Toc65230790"/>
      <w:bookmarkStart w:id="517" w:name="_Toc65232074"/>
      <w:bookmarkStart w:id="518" w:name="_Toc65232319"/>
      <w:bookmarkStart w:id="519" w:name="_Toc66716178"/>
      <w:bookmarkStart w:id="520" w:name="_Toc71097222"/>
      <w:bookmarkStart w:id="521" w:name="_Toc71097253"/>
      <w:bookmarkStart w:id="522" w:name="_Toc71097328"/>
      <w:bookmarkStart w:id="523" w:name="_Toc71108068"/>
      <w:bookmarkStart w:id="524" w:name="_Toc79055262"/>
      <w:bookmarkStart w:id="525" w:name="_Toc79055293"/>
      <w:bookmarkStart w:id="526" w:name="_Toc79060184"/>
      <w:bookmarkStart w:id="527" w:name="_Toc79060471"/>
      <w:bookmarkStart w:id="528" w:name="_Toc81307828"/>
      <w:bookmarkStart w:id="529" w:name="_Toc83376489"/>
      <w:bookmarkStart w:id="530" w:name="_Toc86386728"/>
      <w:bookmarkStart w:id="531" w:name="_Toc86405414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</w:p>
    <w:p w14:paraId="75B8F6A8" w14:textId="77777777" w:rsidR="000F19C1" w:rsidRPr="000F19C1" w:rsidRDefault="000F19C1" w:rsidP="000F19C1">
      <w:pPr>
        <w:pStyle w:val="Prrafodelista"/>
        <w:keepNext/>
        <w:keepLines/>
        <w:numPr>
          <w:ilvl w:val="0"/>
          <w:numId w:val="43"/>
        </w:numPr>
        <w:tabs>
          <w:tab w:val="left" w:pos="426"/>
        </w:tabs>
        <w:spacing w:after="12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eastAsia="es-ES"/>
        </w:rPr>
      </w:pPr>
      <w:bookmarkStart w:id="532" w:name="_Toc55374011"/>
      <w:bookmarkStart w:id="533" w:name="_Toc55375148"/>
      <w:bookmarkStart w:id="534" w:name="_Toc55396556"/>
      <w:bookmarkStart w:id="535" w:name="_Toc65230553"/>
      <w:bookmarkStart w:id="536" w:name="_Toc65230791"/>
      <w:bookmarkStart w:id="537" w:name="_Toc65232075"/>
      <w:bookmarkStart w:id="538" w:name="_Toc65232320"/>
      <w:bookmarkStart w:id="539" w:name="_Toc66716179"/>
      <w:bookmarkStart w:id="540" w:name="_Toc71097223"/>
      <w:bookmarkStart w:id="541" w:name="_Toc71097254"/>
      <w:bookmarkStart w:id="542" w:name="_Toc71097329"/>
      <w:bookmarkStart w:id="543" w:name="_Toc71108069"/>
      <w:bookmarkStart w:id="544" w:name="_Toc79055263"/>
      <w:bookmarkStart w:id="545" w:name="_Toc79055294"/>
      <w:bookmarkStart w:id="546" w:name="_Toc79060185"/>
      <w:bookmarkStart w:id="547" w:name="_Toc79060472"/>
      <w:bookmarkStart w:id="548" w:name="_Toc81307829"/>
      <w:bookmarkStart w:id="549" w:name="_Toc83376490"/>
      <w:bookmarkStart w:id="550" w:name="_Toc86386729"/>
      <w:bookmarkStart w:id="551" w:name="_Toc86405415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</w:p>
    <w:p w14:paraId="28E96994" w14:textId="77777777" w:rsidR="000F19C1" w:rsidRPr="000F19C1" w:rsidRDefault="000F19C1" w:rsidP="000F19C1">
      <w:pPr>
        <w:pStyle w:val="Prrafodelista"/>
        <w:keepNext/>
        <w:keepLines/>
        <w:numPr>
          <w:ilvl w:val="0"/>
          <w:numId w:val="43"/>
        </w:numPr>
        <w:tabs>
          <w:tab w:val="left" w:pos="426"/>
        </w:tabs>
        <w:spacing w:after="12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eastAsia="es-ES"/>
        </w:rPr>
      </w:pPr>
      <w:bookmarkStart w:id="552" w:name="_Toc55374012"/>
      <w:bookmarkStart w:id="553" w:name="_Toc55375149"/>
      <w:bookmarkStart w:id="554" w:name="_Toc55396557"/>
      <w:bookmarkStart w:id="555" w:name="_Toc65230554"/>
      <w:bookmarkStart w:id="556" w:name="_Toc65230792"/>
      <w:bookmarkStart w:id="557" w:name="_Toc65232076"/>
      <w:bookmarkStart w:id="558" w:name="_Toc65232321"/>
      <w:bookmarkStart w:id="559" w:name="_Toc66716180"/>
      <w:bookmarkStart w:id="560" w:name="_Toc71097224"/>
      <w:bookmarkStart w:id="561" w:name="_Toc71097255"/>
      <w:bookmarkStart w:id="562" w:name="_Toc71097330"/>
      <w:bookmarkStart w:id="563" w:name="_Toc71108070"/>
      <w:bookmarkStart w:id="564" w:name="_Toc79055264"/>
      <w:bookmarkStart w:id="565" w:name="_Toc79055295"/>
      <w:bookmarkStart w:id="566" w:name="_Toc79060186"/>
      <w:bookmarkStart w:id="567" w:name="_Toc79060473"/>
      <w:bookmarkStart w:id="568" w:name="_Toc81307830"/>
      <w:bookmarkStart w:id="569" w:name="_Toc83376491"/>
      <w:bookmarkStart w:id="570" w:name="_Toc86386730"/>
      <w:bookmarkStart w:id="571" w:name="_Toc86405416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</w:p>
    <w:p w14:paraId="6DDEDF75" w14:textId="77777777" w:rsidR="000F19C1" w:rsidRPr="000F19C1" w:rsidRDefault="000F19C1" w:rsidP="000F19C1">
      <w:pPr>
        <w:pStyle w:val="Prrafodelista"/>
        <w:keepNext/>
        <w:keepLines/>
        <w:numPr>
          <w:ilvl w:val="0"/>
          <w:numId w:val="43"/>
        </w:numPr>
        <w:tabs>
          <w:tab w:val="left" w:pos="426"/>
        </w:tabs>
        <w:spacing w:after="12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eastAsia="es-ES"/>
        </w:rPr>
      </w:pPr>
      <w:bookmarkStart w:id="572" w:name="_Toc55374013"/>
      <w:bookmarkStart w:id="573" w:name="_Toc55375150"/>
      <w:bookmarkStart w:id="574" w:name="_Toc55396558"/>
      <w:bookmarkStart w:id="575" w:name="_Toc65230555"/>
      <w:bookmarkStart w:id="576" w:name="_Toc65230793"/>
      <w:bookmarkStart w:id="577" w:name="_Toc65232077"/>
      <w:bookmarkStart w:id="578" w:name="_Toc65232322"/>
      <w:bookmarkStart w:id="579" w:name="_Toc66716181"/>
      <w:bookmarkStart w:id="580" w:name="_Toc71097225"/>
      <w:bookmarkStart w:id="581" w:name="_Toc71097256"/>
      <w:bookmarkStart w:id="582" w:name="_Toc71097331"/>
      <w:bookmarkStart w:id="583" w:name="_Toc71108071"/>
      <w:bookmarkStart w:id="584" w:name="_Toc79055265"/>
      <w:bookmarkStart w:id="585" w:name="_Toc79055296"/>
      <w:bookmarkStart w:id="586" w:name="_Toc79060187"/>
      <w:bookmarkStart w:id="587" w:name="_Toc79060474"/>
      <w:bookmarkStart w:id="588" w:name="_Toc81307831"/>
      <w:bookmarkStart w:id="589" w:name="_Toc83376492"/>
      <w:bookmarkStart w:id="590" w:name="_Toc86386731"/>
      <w:bookmarkStart w:id="591" w:name="_Toc86405417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</w:p>
    <w:p w14:paraId="5A528A9D" w14:textId="77777777" w:rsidR="00C56688" w:rsidRPr="00C56688" w:rsidRDefault="00C56688" w:rsidP="00C56688">
      <w:pPr>
        <w:pStyle w:val="Prrafodelista"/>
        <w:keepNext/>
        <w:keepLines/>
        <w:numPr>
          <w:ilvl w:val="0"/>
          <w:numId w:val="12"/>
        </w:numPr>
        <w:tabs>
          <w:tab w:val="left" w:pos="426"/>
        </w:tabs>
        <w:spacing w:after="12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eastAsia="es-ES"/>
        </w:rPr>
      </w:pPr>
      <w:bookmarkStart w:id="592" w:name="_Toc55374014"/>
      <w:bookmarkStart w:id="593" w:name="_Toc55375151"/>
      <w:bookmarkStart w:id="594" w:name="_Toc55396559"/>
      <w:bookmarkStart w:id="595" w:name="_Toc65230556"/>
      <w:bookmarkStart w:id="596" w:name="_Toc65230794"/>
      <w:bookmarkStart w:id="597" w:name="_Toc65232078"/>
      <w:bookmarkStart w:id="598" w:name="_Toc65232323"/>
      <w:bookmarkStart w:id="599" w:name="_Toc66716182"/>
      <w:bookmarkStart w:id="600" w:name="_Toc71097226"/>
      <w:bookmarkStart w:id="601" w:name="_Toc71097257"/>
      <w:bookmarkStart w:id="602" w:name="_Toc71097332"/>
      <w:bookmarkStart w:id="603" w:name="_Toc71108072"/>
      <w:bookmarkStart w:id="604" w:name="_Toc79055266"/>
      <w:bookmarkStart w:id="605" w:name="_Toc79055297"/>
      <w:bookmarkStart w:id="606" w:name="_Toc79060188"/>
      <w:bookmarkStart w:id="607" w:name="_Toc79060475"/>
      <w:bookmarkStart w:id="608" w:name="_Toc81307832"/>
      <w:bookmarkStart w:id="609" w:name="_Toc83376493"/>
      <w:bookmarkStart w:id="610" w:name="_Toc86386732"/>
      <w:bookmarkStart w:id="611" w:name="_Toc86405418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</w:p>
    <w:p w14:paraId="0AE5E41B" w14:textId="5966DDA9" w:rsidR="00490038" w:rsidRPr="00C56688" w:rsidRDefault="00490038" w:rsidP="00C56688">
      <w:pPr>
        <w:pStyle w:val="Ttulo2"/>
        <w:numPr>
          <w:ilvl w:val="1"/>
          <w:numId w:val="12"/>
        </w:numPr>
        <w:tabs>
          <w:tab w:val="left" w:pos="426"/>
        </w:tabs>
        <w:spacing w:before="0"/>
        <w:rPr>
          <w:rFonts w:ascii="Times New Roman" w:hAnsi="Times New Roman" w:cs="Times New Roman"/>
          <w:color w:val="auto"/>
          <w:sz w:val="24"/>
        </w:rPr>
      </w:pPr>
      <w:bookmarkStart w:id="612" w:name="_Toc86405419"/>
      <w:r w:rsidRPr="00AC1506">
        <w:rPr>
          <w:rFonts w:ascii="Times New Roman" w:hAnsi="Times New Roman" w:cs="Times New Roman"/>
          <w:color w:val="auto"/>
          <w:sz w:val="24"/>
        </w:rPr>
        <w:t>Erogaciones por Función</w:t>
      </w:r>
      <w:bookmarkEnd w:id="612"/>
    </w:p>
    <w:p w14:paraId="70F2BBDD" w14:textId="0B003828" w:rsidR="00E20888" w:rsidRDefault="0023542F" w:rsidP="00CD34D6">
      <w:pPr>
        <w:rPr>
          <w:rFonts w:cs="Times New Roman"/>
        </w:rPr>
      </w:pPr>
      <w:r>
        <w:rPr>
          <w:rFonts w:cs="Times New Roman"/>
        </w:rPr>
        <w:t>E</w:t>
      </w:r>
      <w:r w:rsidR="009D139A" w:rsidRPr="00AC1506">
        <w:rPr>
          <w:rFonts w:cs="Times New Roman"/>
        </w:rPr>
        <w:t xml:space="preserve">l </w:t>
      </w:r>
      <w:r w:rsidR="00626984" w:rsidRPr="00AC1506">
        <w:rPr>
          <w:rFonts w:cs="Times New Roman"/>
        </w:rPr>
        <w:t>G</w:t>
      </w:r>
      <w:r w:rsidR="009D139A" w:rsidRPr="00AC1506">
        <w:rPr>
          <w:rFonts w:cs="Times New Roman"/>
        </w:rPr>
        <w:t xml:space="preserve">obierno </w:t>
      </w:r>
      <w:r w:rsidR="00626984" w:rsidRPr="00AC1506">
        <w:rPr>
          <w:rFonts w:cs="Times New Roman"/>
        </w:rPr>
        <w:t>C</w:t>
      </w:r>
      <w:r w:rsidR="009D139A" w:rsidRPr="00AC1506">
        <w:rPr>
          <w:rFonts w:cs="Times New Roman"/>
        </w:rPr>
        <w:t xml:space="preserve">entral </w:t>
      </w:r>
      <w:r w:rsidR="00626984" w:rsidRPr="00AC1506">
        <w:rPr>
          <w:rFonts w:cs="Times New Roman"/>
        </w:rPr>
        <w:t>P</w:t>
      </w:r>
      <w:r w:rsidR="009D139A" w:rsidRPr="00AC1506">
        <w:rPr>
          <w:rFonts w:cs="Times New Roman"/>
        </w:rPr>
        <w:t xml:space="preserve">resupuestario </w:t>
      </w:r>
      <w:r w:rsidR="0020227E">
        <w:rPr>
          <w:rFonts w:cs="Times New Roman"/>
        </w:rPr>
        <w:t xml:space="preserve">tiene una erogación de </w:t>
      </w:r>
      <w:r w:rsidR="009D139A" w:rsidRPr="00AC1506">
        <w:rPr>
          <w:rFonts w:cs="Times New Roman"/>
        </w:rPr>
        <w:t>Q</w:t>
      </w:r>
      <w:r w:rsidR="003A4763">
        <w:rPr>
          <w:rFonts w:cs="Times New Roman"/>
        </w:rPr>
        <w:t>63</w:t>
      </w:r>
      <w:r w:rsidR="009D139A" w:rsidRPr="00AC1506">
        <w:rPr>
          <w:rFonts w:cs="Times New Roman"/>
        </w:rPr>
        <w:t>,</w:t>
      </w:r>
      <w:r w:rsidR="003A4763">
        <w:rPr>
          <w:rFonts w:cs="Times New Roman"/>
        </w:rPr>
        <w:t>911</w:t>
      </w:r>
      <w:r w:rsidR="00A81A50">
        <w:rPr>
          <w:rFonts w:cs="Times New Roman"/>
        </w:rPr>
        <w:t>.</w:t>
      </w:r>
      <w:r w:rsidR="003A4763">
        <w:rPr>
          <w:rFonts w:cs="Times New Roman"/>
        </w:rPr>
        <w:t>4</w:t>
      </w:r>
      <w:r w:rsidR="009D139A" w:rsidRPr="00AC1506">
        <w:rPr>
          <w:rFonts w:cs="Times New Roman"/>
        </w:rPr>
        <w:t xml:space="preserve"> millones</w:t>
      </w:r>
      <w:r w:rsidR="008B077B">
        <w:rPr>
          <w:rFonts w:cs="Times New Roman"/>
        </w:rPr>
        <w:t xml:space="preserve"> al finalizar el tercer trimestre, esta </w:t>
      </w:r>
      <w:r w:rsidR="00EC2B98">
        <w:rPr>
          <w:rFonts w:cs="Times New Roman"/>
        </w:rPr>
        <w:t xml:space="preserve">es </w:t>
      </w:r>
      <w:r w:rsidR="002375A0">
        <w:rPr>
          <w:rFonts w:cs="Times New Roman"/>
        </w:rPr>
        <w:t>un</w:t>
      </w:r>
      <w:r w:rsidR="00A81A50">
        <w:rPr>
          <w:rFonts w:cs="Times New Roman"/>
        </w:rPr>
        <w:t>a var</w:t>
      </w:r>
      <w:r w:rsidR="000003CC">
        <w:rPr>
          <w:rFonts w:cs="Times New Roman"/>
        </w:rPr>
        <w:t>iación</w:t>
      </w:r>
      <w:r w:rsidR="002375A0">
        <w:rPr>
          <w:rFonts w:cs="Times New Roman"/>
        </w:rPr>
        <w:t xml:space="preserve"> interanual</w:t>
      </w:r>
      <w:r w:rsidR="008B077B">
        <w:rPr>
          <w:rFonts w:cs="Times New Roman"/>
        </w:rPr>
        <w:t xml:space="preserve"> negativa</w:t>
      </w:r>
      <w:r w:rsidR="002375A0">
        <w:rPr>
          <w:rFonts w:cs="Times New Roman"/>
        </w:rPr>
        <w:t xml:space="preserve"> del </w:t>
      </w:r>
      <w:r w:rsidR="008B077B">
        <w:rPr>
          <w:rFonts w:cs="Times New Roman"/>
        </w:rPr>
        <w:t>1.0</w:t>
      </w:r>
      <w:r w:rsidR="0040414E">
        <w:rPr>
          <w:rFonts w:cs="Times New Roman"/>
        </w:rPr>
        <w:t xml:space="preserve">% </w:t>
      </w:r>
      <w:r w:rsidR="000003CC">
        <w:rPr>
          <w:rFonts w:cs="Times New Roman"/>
        </w:rPr>
        <w:t>(</w:t>
      </w:r>
      <w:r w:rsidR="009627BC" w:rsidRPr="00AC1506">
        <w:rPr>
          <w:rFonts w:cs="Times New Roman"/>
        </w:rPr>
        <w:t>Q</w:t>
      </w:r>
      <w:r w:rsidR="000003CC">
        <w:rPr>
          <w:rFonts w:cs="Times New Roman"/>
        </w:rPr>
        <w:t>6</w:t>
      </w:r>
      <w:r w:rsidR="00522CC6">
        <w:rPr>
          <w:rFonts w:cs="Times New Roman"/>
        </w:rPr>
        <w:t>56</w:t>
      </w:r>
      <w:r w:rsidR="000003CC">
        <w:rPr>
          <w:rFonts w:cs="Times New Roman"/>
        </w:rPr>
        <w:t>.</w:t>
      </w:r>
      <w:r w:rsidR="00522CC6">
        <w:rPr>
          <w:rFonts w:cs="Times New Roman"/>
        </w:rPr>
        <w:t>9</w:t>
      </w:r>
      <w:r w:rsidR="009627BC" w:rsidRPr="00AC1506">
        <w:rPr>
          <w:rFonts w:cs="Times New Roman"/>
        </w:rPr>
        <w:t xml:space="preserve"> millones</w:t>
      </w:r>
      <w:r w:rsidR="000003CC">
        <w:rPr>
          <w:rFonts w:cs="Times New Roman"/>
        </w:rPr>
        <w:t>)</w:t>
      </w:r>
      <w:r w:rsidR="00522CC6">
        <w:rPr>
          <w:rFonts w:cs="Times New Roman"/>
        </w:rPr>
        <w:t xml:space="preserve"> y </w:t>
      </w:r>
      <w:r w:rsidR="001D1179">
        <w:rPr>
          <w:rFonts w:cs="Times New Roman"/>
        </w:rPr>
        <w:t>siendo la</w:t>
      </w:r>
      <w:r w:rsidR="00522CC6">
        <w:rPr>
          <w:rFonts w:cs="Times New Roman"/>
        </w:rPr>
        <w:t xml:space="preserve"> principal reducción </w:t>
      </w:r>
      <w:r w:rsidR="00E20888">
        <w:rPr>
          <w:rFonts w:cs="Times New Roman"/>
        </w:rPr>
        <w:t xml:space="preserve">en la </w:t>
      </w:r>
      <w:r w:rsidR="005F2D60">
        <w:rPr>
          <w:rFonts w:cs="Times New Roman"/>
        </w:rPr>
        <w:t>función de</w:t>
      </w:r>
      <w:r w:rsidR="00BB5924">
        <w:rPr>
          <w:rFonts w:cs="Times New Roman"/>
        </w:rPr>
        <w:t xml:space="preserve"> </w:t>
      </w:r>
      <w:r w:rsidR="002E5775">
        <w:rPr>
          <w:rFonts w:cs="Times New Roman"/>
        </w:rPr>
        <w:t xml:space="preserve">protección social, la cual asciende a un total de Q7,799.9 millones </w:t>
      </w:r>
      <w:r w:rsidR="001D1179">
        <w:rPr>
          <w:rFonts w:cs="Times New Roman"/>
        </w:rPr>
        <w:t>con una variación interanual negativa de</w:t>
      </w:r>
      <w:r w:rsidR="002645AE">
        <w:rPr>
          <w:rFonts w:cs="Times New Roman"/>
        </w:rPr>
        <w:t xml:space="preserve">l </w:t>
      </w:r>
      <w:r w:rsidR="00764FC1">
        <w:rPr>
          <w:rFonts w:cs="Times New Roman"/>
        </w:rPr>
        <w:t>45.1% (Q6,398.3 millones)</w:t>
      </w:r>
      <w:r w:rsidR="0085400D">
        <w:rPr>
          <w:rFonts w:cs="Times New Roman"/>
        </w:rPr>
        <w:t>,</w:t>
      </w:r>
      <w:r w:rsidR="00764FC1">
        <w:rPr>
          <w:rFonts w:cs="Times New Roman"/>
        </w:rPr>
        <w:t xml:space="preserve"> en buena medida esta diferencia respecto a 2020 </w:t>
      </w:r>
      <w:r w:rsidR="00BC4210">
        <w:rPr>
          <w:rFonts w:cs="Times New Roman"/>
        </w:rPr>
        <w:t>es explicad</w:t>
      </w:r>
      <w:r w:rsidR="0085400D">
        <w:rPr>
          <w:rFonts w:cs="Times New Roman"/>
        </w:rPr>
        <w:t>a</w:t>
      </w:r>
      <w:r w:rsidR="00764FC1">
        <w:rPr>
          <w:rFonts w:cs="Times New Roman"/>
        </w:rPr>
        <w:t xml:space="preserve"> </w:t>
      </w:r>
      <w:r w:rsidR="00BC4210">
        <w:rPr>
          <w:rFonts w:cs="Times New Roman"/>
        </w:rPr>
        <w:t xml:space="preserve">por lo programas </w:t>
      </w:r>
      <w:r w:rsidR="00EC2B98">
        <w:rPr>
          <w:rFonts w:cs="Times New Roman"/>
        </w:rPr>
        <w:t>que fueron destinados a mitigar los efectos del Covid-19</w:t>
      </w:r>
      <w:r w:rsidR="0085400D">
        <w:rPr>
          <w:rFonts w:cs="Times New Roman"/>
        </w:rPr>
        <w:t xml:space="preserve"> como lo fue</w:t>
      </w:r>
      <w:r w:rsidR="00877340">
        <w:rPr>
          <w:rFonts w:cs="Times New Roman"/>
        </w:rPr>
        <w:t xml:space="preserve"> e</w:t>
      </w:r>
      <w:r w:rsidR="0085400D">
        <w:rPr>
          <w:rFonts w:cs="Times New Roman"/>
        </w:rPr>
        <w:t>l Bono Familia</w:t>
      </w:r>
      <w:r w:rsidR="00B435E7">
        <w:rPr>
          <w:rFonts w:cs="Times New Roman"/>
        </w:rPr>
        <w:t>.</w:t>
      </w:r>
    </w:p>
    <w:p w14:paraId="37ED4921" w14:textId="77777777" w:rsidR="00E20888" w:rsidRDefault="00E20888" w:rsidP="00CD34D6">
      <w:pPr>
        <w:rPr>
          <w:rFonts w:cs="Times New Roman"/>
        </w:rPr>
      </w:pPr>
    </w:p>
    <w:p w14:paraId="7EA49BC5" w14:textId="060F77A7" w:rsidR="009D139A" w:rsidRPr="00AC1506" w:rsidRDefault="00BC4210" w:rsidP="00CD34D6">
      <w:pPr>
        <w:rPr>
          <w:rFonts w:cs="Times New Roman"/>
        </w:rPr>
      </w:pPr>
      <w:r>
        <w:rPr>
          <w:rFonts w:cs="Times New Roman"/>
        </w:rPr>
        <w:t>Por su parte</w:t>
      </w:r>
      <w:r w:rsidR="00877340">
        <w:rPr>
          <w:rFonts w:cs="Times New Roman"/>
        </w:rPr>
        <w:t>,</w:t>
      </w:r>
      <w:r>
        <w:rPr>
          <w:rFonts w:cs="Times New Roman"/>
        </w:rPr>
        <w:t xml:space="preserve"> la</w:t>
      </w:r>
      <w:r w:rsidR="00450CCE">
        <w:rPr>
          <w:rFonts w:cs="Times New Roman"/>
        </w:rPr>
        <w:t>s</w:t>
      </w:r>
      <w:r>
        <w:rPr>
          <w:rFonts w:cs="Times New Roman"/>
        </w:rPr>
        <w:t xml:space="preserve"> erogaci</w:t>
      </w:r>
      <w:r w:rsidR="00450CCE">
        <w:rPr>
          <w:rFonts w:cs="Times New Roman"/>
        </w:rPr>
        <w:t xml:space="preserve">ones </w:t>
      </w:r>
      <w:r w:rsidR="00DE5D46">
        <w:rPr>
          <w:rFonts w:cs="Times New Roman"/>
        </w:rPr>
        <w:t xml:space="preserve">con mayor incremento </w:t>
      </w:r>
      <w:r w:rsidR="004550B7">
        <w:rPr>
          <w:rFonts w:cs="Times New Roman"/>
        </w:rPr>
        <w:t>interanual</w:t>
      </w:r>
      <w:r w:rsidR="00B435E7">
        <w:rPr>
          <w:rFonts w:cs="Times New Roman"/>
        </w:rPr>
        <w:t xml:space="preserve"> en el acumulado a septiembre 2021</w:t>
      </w:r>
      <w:r w:rsidR="00450CCE">
        <w:rPr>
          <w:rFonts w:cs="Times New Roman"/>
        </w:rPr>
        <w:t xml:space="preserve"> </w:t>
      </w:r>
      <w:r w:rsidR="00DE5D46">
        <w:rPr>
          <w:rFonts w:cs="Times New Roman"/>
        </w:rPr>
        <w:t>son</w:t>
      </w:r>
      <w:r w:rsidR="004550B7">
        <w:rPr>
          <w:rFonts w:cs="Times New Roman"/>
        </w:rPr>
        <w:t>;</w:t>
      </w:r>
      <w:r>
        <w:rPr>
          <w:rFonts w:cs="Times New Roman"/>
        </w:rPr>
        <w:t xml:space="preserve"> </w:t>
      </w:r>
      <w:r w:rsidR="004550B7">
        <w:rPr>
          <w:rFonts w:cs="Times New Roman"/>
        </w:rPr>
        <w:t xml:space="preserve">las destinadas a función de </w:t>
      </w:r>
      <w:r w:rsidR="00BB5924">
        <w:rPr>
          <w:rFonts w:cs="Times New Roman"/>
        </w:rPr>
        <w:t>salud</w:t>
      </w:r>
      <w:r w:rsidR="004550B7">
        <w:rPr>
          <w:rFonts w:cs="Times New Roman"/>
        </w:rPr>
        <w:t xml:space="preserve"> que</w:t>
      </w:r>
      <w:r w:rsidR="00BB5924">
        <w:rPr>
          <w:rFonts w:cs="Times New Roman"/>
        </w:rPr>
        <w:t xml:space="preserve"> asciende a </w:t>
      </w:r>
      <w:r w:rsidR="005F2D60">
        <w:rPr>
          <w:rFonts w:cs="Times New Roman"/>
        </w:rPr>
        <w:t>Q</w:t>
      </w:r>
      <w:r w:rsidR="0016510F">
        <w:rPr>
          <w:rFonts w:cs="Times New Roman"/>
        </w:rPr>
        <w:t>6</w:t>
      </w:r>
      <w:r w:rsidR="005F2D60">
        <w:rPr>
          <w:rFonts w:cs="Times New Roman"/>
        </w:rPr>
        <w:t>,</w:t>
      </w:r>
      <w:r w:rsidR="0016510F">
        <w:rPr>
          <w:rFonts w:cs="Times New Roman"/>
        </w:rPr>
        <w:t>559</w:t>
      </w:r>
      <w:r w:rsidR="005F2D60">
        <w:rPr>
          <w:rFonts w:cs="Times New Roman"/>
        </w:rPr>
        <w:t>.</w:t>
      </w:r>
      <w:r w:rsidR="0016510F">
        <w:rPr>
          <w:rFonts w:cs="Times New Roman"/>
        </w:rPr>
        <w:t>8</w:t>
      </w:r>
      <w:r w:rsidR="005F2D60">
        <w:rPr>
          <w:rFonts w:cs="Times New Roman"/>
        </w:rPr>
        <w:t xml:space="preserve"> millones</w:t>
      </w:r>
      <w:r w:rsidR="00F8047F">
        <w:rPr>
          <w:rFonts w:cs="Times New Roman"/>
        </w:rPr>
        <w:t xml:space="preserve"> </w:t>
      </w:r>
      <w:r w:rsidR="0016510F">
        <w:rPr>
          <w:rFonts w:cs="Times New Roman"/>
        </w:rPr>
        <w:t xml:space="preserve">con </w:t>
      </w:r>
      <w:r w:rsidR="005F2D60">
        <w:rPr>
          <w:rFonts w:cs="Times New Roman"/>
        </w:rPr>
        <w:t xml:space="preserve">un </w:t>
      </w:r>
      <w:r w:rsidR="00F8047F">
        <w:rPr>
          <w:rFonts w:cs="Times New Roman"/>
        </w:rPr>
        <w:t>crecimiento</w:t>
      </w:r>
      <w:r w:rsidR="005F2D60">
        <w:rPr>
          <w:rFonts w:cs="Times New Roman"/>
        </w:rPr>
        <w:t xml:space="preserve"> interanual</w:t>
      </w:r>
      <w:r w:rsidR="0016510F">
        <w:rPr>
          <w:rFonts w:cs="Times New Roman"/>
        </w:rPr>
        <w:t xml:space="preserve"> positiv</w:t>
      </w:r>
      <w:r w:rsidR="00CF3D90">
        <w:rPr>
          <w:rFonts w:cs="Times New Roman"/>
        </w:rPr>
        <w:t>o</w:t>
      </w:r>
      <w:r w:rsidR="005F2D60">
        <w:rPr>
          <w:rFonts w:cs="Times New Roman"/>
        </w:rPr>
        <w:t xml:space="preserve"> </w:t>
      </w:r>
      <w:r w:rsidR="006A71A2">
        <w:rPr>
          <w:rFonts w:cs="Times New Roman"/>
        </w:rPr>
        <w:t xml:space="preserve">del </w:t>
      </w:r>
      <w:r w:rsidR="000944FE">
        <w:rPr>
          <w:rFonts w:cs="Times New Roman"/>
        </w:rPr>
        <w:t>31</w:t>
      </w:r>
      <w:r w:rsidR="006A71A2">
        <w:rPr>
          <w:rFonts w:cs="Times New Roman"/>
        </w:rPr>
        <w:t>.</w:t>
      </w:r>
      <w:r w:rsidR="000944FE">
        <w:rPr>
          <w:rFonts w:cs="Times New Roman"/>
        </w:rPr>
        <w:t>1</w:t>
      </w:r>
      <w:r w:rsidR="006A71A2">
        <w:rPr>
          <w:rFonts w:cs="Times New Roman"/>
        </w:rPr>
        <w:t>% (Q</w:t>
      </w:r>
      <w:r w:rsidR="00E17E79">
        <w:rPr>
          <w:rFonts w:cs="Times New Roman"/>
        </w:rPr>
        <w:t>1,</w:t>
      </w:r>
      <w:r w:rsidR="000944FE">
        <w:rPr>
          <w:rFonts w:cs="Times New Roman"/>
        </w:rPr>
        <w:t>556</w:t>
      </w:r>
      <w:r w:rsidR="00E17E79">
        <w:rPr>
          <w:rFonts w:cs="Times New Roman"/>
        </w:rPr>
        <w:t>.</w:t>
      </w:r>
      <w:r w:rsidR="000944FE">
        <w:rPr>
          <w:rFonts w:cs="Times New Roman"/>
        </w:rPr>
        <w:t>6</w:t>
      </w:r>
      <w:r w:rsidR="006A71A2">
        <w:rPr>
          <w:rFonts w:cs="Times New Roman"/>
        </w:rPr>
        <w:t xml:space="preserve"> millones)</w:t>
      </w:r>
      <w:r w:rsidR="001C677D">
        <w:rPr>
          <w:rFonts w:cs="Times New Roman"/>
        </w:rPr>
        <w:t xml:space="preserve"> </w:t>
      </w:r>
      <w:r w:rsidR="00B435E7">
        <w:rPr>
          <w:rFonts w:cs="Times New Roman"/>
        </w:rPr>
        <w:t xml:space="preserve">con respecto al año previo, </w:t>
      </w:r>
      <w:r w:rsidR="001C677D">
        <w:rPr>
          <w:rFonts w:cs="Times New Roman"/>
        </w:rPr>
        <w:t xml:space="preserve">seguido por </w:t>
      </w:r>
      <w:r w:rsidR="00071810">
        <w:rPr>
          <w:rFonts w:cs="Times New Roman"/>
        </w:rPr>
        <w:t xml:space="preserve">las enfocadas en </w:t>
      </w:r>
      <w:r w:rsidR="00E17E79">
        <w:rPr>
          <w:rFonts w:cs="Times New Roman"/>
        </w:rPr>
        <w:t xml:space="preserve">servicios públicos generales </w:t>
      </w:r>
      <w:r w:rsidR="00B033D0">
        <w:rPr>
          <w:rFonts w:cs="Times New Roman"/>
        </w:rPr>
        <w:t xml:space="preserve">que son de </w:t>
      </w:r>
      <w:r w:rsidR="00095331">
        <w:rPr>
          <w:rFonts w:cs="Times New Roman"/>
        </w:rPr>
        <w:t>Q</w:t>
      </w:r>
      <w:r w:rsidR="00B033D0">
        <w:rPr>
          <w:rFonts w:cs="Times New Roman"/>
        </w:rPr>
        <w:t>12</w:t>
      </w:r>
      <w:r w:rsidR="00095331">
        <w:rPr>
          <w:rFonts w:cs="Times New Roman"/>
        </w:rPr>
        <w:t>,</w:t>
      </w:r>
      <w:r w:rsidR="00216D1A">
        <w:rPr>
          <w:rFonts w:cs="Times New Roman"/>
        </w:rPr>
        <w:t>344</w:t>
      </w:r>
      <w:r w:rsidR="00B033D0">
        <w:rPr>
          <w:rFonts w:cs="Times New Roman"/>
        </w:rPr>
        <w:t>.</w:t>
      </w:r>
      <w:r w:rsidR="00095331">
        <w:rPr>
          <w:rFonts w:cs="Times New Roman"/>
        </w:rPr>
        <w:t>8 millones</w:t>
      </w:r>
      <w:r w:rsidR="00B435E7">
        <w:rPr>
          <w:rFonts w:cs="Times New Roman"/>
        </w:rPr>
        <w:t>,</w:t>
      </w:r>
      <w:r w:rsidR="00B62A28">
        <w:rPr>
          <w:rFonts w:cs="Times New Roman"/>
        </w:rPr>
        <w:t xml:space="preserve"> con un </w:t>
      </w:r>
      <w:r w:rsidR="00095331">
        <w:rPr>
          <w:rFonts w:cs="Times New Roman"/>
        </w:rPr>
        <w:t>incremento</w:t>
      </w:r>
      <w:r w:rsidR="00B62A28">
        <w:rPr>
          <w:rFonts w:cs="Times New Roman"/>
        </w:rPr>
        <w:t xml:space="preserve"> interanual</w:t>
      </w:r>
      <w:r w:rsidR="00095331">
        <w:rPr>
          <w:rFonts w:cs="Times New Roman"/>
        </w:rPr>
        <w:t xml:space="preserve"> del 1</w:t>
      </w:r>
      <w:r w:rsidR="00B62A28">
        <w:rPr>
          <w:rFonts w:cs="Times New Roman"/>
        </w:rPr>
        <w:t>3</w:t>
      </w:r>
      <w:r w:rsidR="00095331">
        <w:rPr>
          <w:rFonts w:cs="Times New Roman"/>
        </w:rPr>
        <w:t>.</w:t>
      </w:r>
      <w:r w:rsidR="00B62A28">
        <w:rPr>
          <w:rFonts w:cs="Times New Roman"/>
        </w:rPr>
        <w:t>1</w:t>
      </w:r>
      <w:r w:rsidR="00095331">
        <w:rPr>
          <w:rFonts w:cs="Times New Roman"/>
        </w:rPr>
        <w:t>% (</w:t>
      </w:r>
      <w:r w:rsidR="00861352">
        <w:rPr>
          <w:rFonts w:cs="Times New Roman"/>
        </w:rPr>
        <w:t>Q</w:t>
      </w:r>
      <w:r w:rsidR="000B1376">
        <w:rPr>
          <w:rFonts w:cs="Times New Roman"/>
        </w:rPr>
        <w:t>1,</w:t>
      </w:r>
      <w:r w:rsidR="00FB71FB">
        <w:rPr>
          <w:rFonts w:cs="Times New Roman"/>
        </w:rPr>
        <w:t>433</w:t>
      </w:r>
      <w:r w:rsidR="000B1376">
        <w:rPr>
          <w:rFonts w:cs="Times New Roman"/>
        </w:rPr>
        <w:t>.</w:t>
      </w:r>
      <w:r w:rsidR="00FB71FB">
        <w:rPr>
          <w:rFonts w:cs="Times New Roman"/>
        </w:rPr>
        <w:t>7 millones</w:t>
      </w:r>
      <w:r w:rsidR="00861352">
        <w:rPr>
          <w:rFonts w:cs="Times New Roman"/>
        </w:rPr>
        <w:t>)</w:t>
      </w:r>
      <w:r w:rsidR="00286D97">
        <w:rPr>
          <w:rFonts w:cs="Times New Roman"/>
        </w:rPr>
        <w:t xml:space="preserve"> y</w:t>
      </w:r>
      <w:r w:rsidR="00FB71FB">
        <w:rPr>
          <w:rFonts w:cs="Times New Roman"/>
        </w:rPr>
        <w:t xml:space="preserve"> </w:t>
      </w:r>
      <w:r w:rsidR="000A2C08">
        <w:rPr>
          <w:rFonts w:cs="Times New Roman"/>
        </w:rPr>
        <w:t>l</w:t>
      </w:r>
      <w:r w:rsidR="00286D97">
        <w:rPr>
          <w:rFonts w:cs="Times New Roman"/>
        </w:rPr>
        <w:t>a</w:t>
      </w:r>
      <w:r w:rsidR="000A2C08">
        <w:rPr>
          <w:rFonts w:cs="Times New Roman"/>
        </w:rPr>
        <w:t>s destinad</w:t>
      </w:r>
      <w:r w:rsidR="00286D97">
        <w:rPr>
          <w:rFonts w:cs="Times New Roman"/>
        </w:rPr>
        <w:t>a</w:t>
      </w:r>
      <w:r w:rsidR="000A2C08">
        <w:rPr>
          <w:rFonts w:cs="Times New Roman"/>
        </w:rPr>
        <w:t>s a la función de a</w:t>
      </w:r>
      <w:r w:rsidR="00ED0939">
        <w:rPr>
          <w:rFonts w:cs="Times New Roman"/>
        </w:rPr>
        <w:t xml:space="preserve">suntos económicos </w:t>
      </w:r>
      <w:r w:rsidR="002C0FC5">
        <w:rPr>
          <w:rFonts w:cs="Times New Roman"/>
        </w:rPr>
        <w:t xml:space="preserve">se </w:t>
      </w:r>
      <w:r w:rsidR="00B435E7">
        <w:rPr>
          <w:rFonts w:cs="Times New Roman"/>
        </w:rPr>
        <w:t>ubican</w:t>
      </w:r>
      <w:r w:rsidR="002C0FC5">
        <w:rPr>
          <w:rFonts w:cs="Times New Roman"/>
        </w:rPr>
        <w:t xml:space="preserve"> en</w:t>
      </w:r>
      <w:r w:rsidR="00B837DC">
        <w:rPr>
          <w:rFonts w:cs="Times New Roman"/>
        </w:rPr>
        <w:t xml:space="preserve"> Q</w:t>
      </w:r>
      <w:r w:rsidR="002C0FC5">
        <w:rPr>
          <w:rFonts w:cs="Times New Roman"/>
        </w:rPr>
        <w:t>5</w:t>
      </w:r>
      <w:r w:rsidR="00B837DC">
        <w:rPr>
          <w:rFonts w:cs="Times New Roman"/>
        </w:rPr>
        <w:t>,</w:t>
      </w:r>
      <w:r w:rsidR="002C0FC5">
        <w:rPr>
          <w:rFonts w:cs="Times New Roman"/>
        </w:rPr>
        <w:t>505.1</w:t>
      </w:r>
      <w:r w:rsidR="00B837DC">
        <w:rPr>
          <w:rFonts w:cs="Times New Roman"/>
        </w:rPr>
        <w:t xml:space="preserve"> millones con una variación interanual del </w:t>
      </w:r>
      <w:r w:rsidR="00F53978">
        <w:rPr>
          <w:rFonts w:cs="Times New Roman"/>
        </w:rPr>
        <w:t>29.9</w:t>
      </w:r>
      <w:r w:rsidR="00FF6B98">
        <w:rPr>
          <w:rFonts w:cs="Times New Roman"/>
        </w:rPr>
        <w:t>% (Q</w:t>
      </w:r>
      <w:r w:rsidR="00F53978">
        <w:rPr>
          <w:rFonts w:cs="Times New Roman"/>
        </w:rPr>
        <w:t>1,265.6</w:t>
      </w:r>
      <w:r w:rsidR="00FF6B98">
        <w:rPr>
          <w:rFonts w:cs="Times New Roman"/>
        </w:rPr>
        <w:t xml:space="preserve"> millones)</w:t>
      </w:r>
      <w:r w:rsidR="00B435E7">
        <w:rPr>
          <w:rFonts w:cs="Times New Roman"/>
        </w:rPr>
        <w:t xml:space="preserve"> con respecto al año previo</w:t>
      </w:r>
      <w:r w:rsidR="003D5F76">
        <w:rPr>
          <w:rFonts w:cs="Times New Roman"/>
        </w:rPr>
        <w:t>.</w:t>
      </w:r>
    </w:p>
    <w:p w14:paraId="4D8C3B1A" w14:textId="668B52D4" w:rsidR="002F5792" w:rsidRDefault="002F5792" w:rsidP="00CD34D6">
      <w:pPr>
        <w:rPr>
          <w:rFonts w:cs="Times New Roman"/>
        </w:rPr>
      </w:pPr>
    </w:p>
    <w:p w14:paraId="09F571C6" w14:textId="52969B6D" w:rsidR="00A143C7" w:rsidRDefault="00A143C7" w:rsidP="00CD34D6">
      <w:pPr>
        <w:rPr>
          <w:rFonts w:cs="Times New Roman"/>
        </w:rPr>
      </w:pPr>
      <w:r w:rsidRPr="00AC1506">
        <w:rPr>
          <w:rFonts w:cs="Times New Roman"/>
          <w:noProof/>
          <w:lang w:eastAsia="es-GT"/>
        </w:rPr>
        <w:lastRenderedPageBreak/>
        <w:drawing>
          <wp:inline distT="0" distB="0" distL="0" distR="0" wp14:anchorId="24832367" wp14:editId="4D753C88">
            <wp:extent cx="5934710" cy="3183147"/>
            <wp:effectExtent l="0" t="0" r="889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68D0D8E3" w14:textId="327F4349" w:rsidR="00513B56" w:rsidRDefault="00513B56" w:rsidP="00C56688">
      <w:pPr>
        <w:pStyle w:val="Ttulo2"/>
        <w:numPr>
          <w:ilvl w:val="1"/>
          <w:numId w:val="12"/>
        </w:numPr>
        <w:tabs>
          <w:tab w:val="left" w:pos="426"/>
        </w:tabs>
        <w:spacing w:before="0"/>
        <w:rPr>
          <w:rFonts w:ascii="Times New Roman" w:hAnsi="Times New Roman" w:cs="Times New Roman"/>
          <w:color w:val="auto"/>
          <w:sz w:val="24"/>
        </w:rPr>
      </w:pPr>
      <w:bookmarkStart w:id="613" w:name="_Toc86405420"/>
      <w:r w:rsidRPr="00AC1506">
        <w:rPr>
          <w:rFonts w:ascii="Times New Roman" w:hAnsi="Times New Roman" w:cs="Times New Roman"/>
          <w:color w:val="auto"/>
          <w:sz w:val="24"/>
        </w:rPr>
        <w:t>Grado de Ejecución</w:t>
      </w:r>
      <w:r w:rsidR="0040274D" w:rsidRPr="00AC1506">
        <w:rPr>
          <w:rFonts w:ascii="Times New Roman" w:hAnsi="Times New Roman" w:cs="Times New Roman"/>
          <w:color w:val="auto"/>
          <w:sz w:val="24"/>
        </w:rPr>
        <w:t xml:space="preserve"> Presupuestaria</w:t>
      </w:r>
      <w:bookmarkEnd w:id="613"/>
    </w:p>
    <w:p w14:paraId="701D2D0F" w14:textId="4F6CCB0D" w:rsidR="003B2441" w:rsidRDefault="008E78EA" w:rsidP="003158EF">
      <w:pPr>
        <w:pStyle w:val="Sinespaciado"/>
        <w:jc w:val="both"/>
        <w:rPr>
          <w:rFonts w:ascii="Times New Roman" w:hAnsi="Times New Roman" w:cs="Times New Roman"/>
          <w:lang w:val="es-MX"/>
        </w:rPr>
      </w:pPr>
      <w:r w:rsidRPr="008E78EA">
        <w:rPr>
          <w:rFonts w:ascii="Times New Roman" w:eastAsiaTheme="minorEastAsia" w:hAnsi="Times New Roman" w:cs="Times New Roman"/>
          <w:szCs w:val="24"/>
          <w:lang w:eastAsia="es-ES"/>
        </w:rPr>
        <w:t>A nivel del gasto público por entidades, las que muestran el mayor nivel de ejecución son: la PGN (72.2%), Educación (71.2%</w:t>
      </w:r>
      <w:r w:rsidR="003158EF" w:rsidRPr="008E78EA">
        <w:rPr>
          <w:rFonts w:ascii="Times New Roman" w:eastAsiaTheme="minorEastAsia" w:hAnsi="Times New Roman" w:cs="Times New Roman"/>
          <w:szCs w:val="24"/>
          <w:lang w:eastAsia="es-ES"/>
        </w:rPr>
        <w:t>), Gobernación</w:t>
      </w:r>
      <w:r w:rsidRPr="008E78EA">
        <w:rPr>
          <w:rFonts w:ascii="Times New Roman" w:eastAsiaTheme="minorEastAsia" w:hAnsi="Times New Roman" w:cs="Times New Roman"/>
          <w:szCs w:val="24"/>
          <w:lang w:eastAsia="es-ES"/>
        </w:rPr>
        <w:t xml:space="preserve"> (70.7%), Deuda Pública (69.8%), Salud Pública (69.4%), MINREX (66.3%), Ambiente (66.1%), Trabajo (65.4%), Desarrollo Social (62.6%), Defensa (62.2%) y Finanzas (60.2%) todas estas entidades se encuentran por arriba de la ejecución institucional total (59.9%). Por su parte, el resto de las entidades se encuentran por debajo de la ejecución total, resalta el caso de dos entidades, siendo Economía (51.2%) y las Obligaciones del Estado (48.2%).</w:t>
      </w:r>
      <w:r w:rsidR="006245CF" w:rsidRPr="00F90B8F">
        <w:rPr>
          <w:rFonts w:ascii="Times New Roman" w:hAnsi="Times New Roman" w:cs="Times New Roman"/>
          <w:lang w:val="es-MX"/>
        </w:rPr>
        <w:t xml:space="preserve"> </w:t>
      </w:r>
    </w:p>
    <w:p w14:paraId="1BB68CEA" w14:textId="77777777" w:rsidR="003B2441" w:rsidRDefault="003B2441" w:rsidP="003158EF">
      <w:pPr>
        <w:pStyle w:val="Sinespaciado"/>
        <w:jc w:val="both"/>
        <w:rPr>
          <w:rFonts w:ascii="Times New Roman" w:hAnsi="Times New Roman" w:cs="Times New Roman"/>
          <w:lang w:val="es-MX"/>
        </w:rPr>
      </w:pPr>
    </w:p>
    <w:p w14:paraId="2FC8A95F" w14:textId="4F3645B6" w:rsidR="0023542F" w:rsidRDefault="003B2441" w:rsidP="003158EF">
      <w:pPr>
        <w:pStyle w:val="Sinespaciado"/>
        <w:jc w:val="both"/>
        <w:rPr>
          <w:rFonts w:ascii="Times New Roman" w:hAnsi="Times New Roman" w:cs="Times New Roman"/>
          <w:lang w:val="es-MX"/>
        </w:rPr>
      </w:pPr>
      <w:r w:rsidRPr="00AC1506">
        <w:rPr>
          <w:rFonts w:cs="Times New Roman"/>
          <w:noProof/>
          <w:sz w:val="18"/>
          <w:szCs w:val="18"/>
          <w:lang w:eastAsia="es-GT"/>
        </w:rPr>
        <w:drawing>
          <wp:inline distT="0" distB="0" distL="0" distR="0" wp14:anchorId="504800CF" wp14:editId="7B4AEC87">
            <wp:extent cx="5908040" cy="3640347"/>
            <wp:effectExtent l="0" t="0" r="0" b="17780"/>
            <wp:docPr id="30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2A08C5D7" w14:textId="786C128C" w:rsidR="00380981" w:rsidRPr="00AC1506" w:rsidRDefault="00C84436" w:rsidP="00C17472">
      <w:pPr>
        <w:pStyle w:val="Prrafodelista"/>
        <w:numPr>
          <w:ilvl w:val="0"/>
          <w:numId w:val="1"/>
        </w:numPr>
        <w:ind w:left="426" w:hanging="426"/>
        <w:outlineLvl w:val="0"/>
        <w:rPr>
          <w:rFonts w:cs="Times New Roman"/>
          <w:b/>
          <w:sz w:val="24"/>
          <w:lang w:val="es-MX"/>
        </w:rPr>
      </w:pPr>
      <w:bookmarkStart w:id="614" w:name="_Toc86405421"/>
      <w:r w:rsidRPr="00AC1506">
        <w:rPr>
          <w:rFonts w:cs="Times New Roman"/>
          <w:b/>
          <w:sz w:val="24"/>
          <w:lang w:val="es-MX"/>
        </w:rPr>
        <w:lastRenderedPageBreak/>
        <w:t>Resultado Fiscal</w:t>
      </w:r>
      <w:bookmarkEnd w:id="614"/>
      <w:r w:rsidRPr="00AC1506">
        <w:rPr>
          <w:rFonts w:cs="Times New Roman"/>
          <w:b/>
          <w:sz w:val="24"/>
          <w:lang w:val="es-MX"/>
        </w:rPr>
        <w:t xml:space="preserve"> </w:t>
      </w:r>
    </w:p>
    <w:p w14:paraId="5979CB22" w14:textId="577F46B8" w:rsidR="00C84436" w:rsidRPr="00AC1506" w:rsidRDefault="005F5E9E" w:rsidP="00D319A6">
      <w:pPr>
        <w:rPr>
          <w:rFonts w:eastAsiaTheme="majorEastAsia" w:cs="Times New Roman"/>
          <w:b/>
          <w:bCs/>
          <w:sz w:val="24"/>
          <w:szCs w:val="26"/>
        </w:rPr>
      </w:pPr>
      <w:bookmarkStart w:id="615" w:name="_Toc42023982"/>
      <w:bookmarkStart w:id="616" w:name="_Toc42024033"/>
      <w:bookmarkEnd w:id="615"/>
      <w:bookmarkEnd w:id="616"/>
      <w:r w:rsidRPr="00AC1506">
        <w:rPr>
          <w:rFonts w:eastAsiaTheme="majorEastAsia"/>
          <w:noProof/>
          <w:lang w:eastAsia="es-GT"/>
        </w:rPr>
        <w:drawing>
          <wp:inline distT="0" distB="0" distL="0" distR="0" wp14:anchorId="53C2D341" wp14:editId="4CCD8E17">
            <wp:extent cx="5836920" cy="1854200"/>
            <wp:effectExtent l="76200" t="57150" r="87630" b="107950"/>
            <wp:docPr id="27" name="Diagrama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  <w:bookmarkStart w:id="617" w:name="_Toc31624513"/>
      <w:bookmarkStart w:id="618" w:name="_Toc31625365"/>
      <w:bookmarkStart w:id="619" w:name="_Toc31626820"/>
      <w:bookmarkStart w:id="620" w:name="_Toc31811271"/>
      <w:bookmarkStart w:id="621" w:name="_Toc31811725"/>
      <w:bookmarkStart w:id="622" w:name="_Toc31971888"/>
      <w:bookmarkStart w:id="623" w:name="_Toc32230910"/>
      <w:bookmarkStart w:id="624" w:name="_Toc33109798"/>
      <w:bookmarkStart w:id="625" w:name="_Toc33109840"/>
      <w:bookmarkStart w:id="626" w:name="_Toc33180561"/>
      <w:bookmarkStart w:id="627" w:name="_Toc33180655"/>
      <w:bookmarkStart w:id="628" w:name="_Toc33193552"/>
      <w:bookmarkStart w:id="629" w:name="_Toc33193591"/>
      <w:bookmarkStart w:id="630" w:name="_Toc33196788"/>
      <w:bookmarkStart w:id="631" w:name="_Toc40691764"/>
      <w:bookmarkStart w:id="632" w:name="_Toc40959164"/>
      <w:bookmarkStart w:id="633" w:name="_Toc40975998"/>
      <w:bookmarkStart w:id="634" w:name="_Toc40976067"/>
      <w:bookmarkStart w:id="635" w:name="_Toc40993323"/>
      <w:bookmarkStart w:id="636" w:name="_Toc40993705"/>
      <w:bookmarkStart w:id="637" w:name="_Toc41037581"/>
      <w:bookmarkStart w:id="638" w:name="_Toc41254141"/>
      <w:bookmarkStart w:id="639" w:name="_Toc41254173"/>
      <w:bookmarkStart w:id="640" w:name="_Toc41254193"/>
      <w:bookmarkStart w:id="641" w:name="_Toc42023983"/>
      <w:bookmarkStart w:id="642" w:name="_Toc42024034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</w:p>
    <w:p w14:paraId="601FB390" w14:textId="77777777" w:rsidR="00182B79" w:rsidRPr="00AC1506" w:rsidRDefault="00182B79" w:rsidP="00182B79">
      <w:pPr>
        <w:pStyle w:val="Prrafodelista"/>
        <w:keepNext/>
        <w:keepLines/>
        <w:numPr>
          <w:ilvl w:val="0"/>
          <w:numId w:val="43"/>
        </w:numPr>
        <w:spacing w:after="12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eastAsia="es-ES"/>
        </w:rPr>
      </w:pPr>
      <w:bookmarkStart w:id="643" w:name="_Toc42069123"/>
      <w:bookmarkStart w:id="644" w:name="_Toc49422069"/>
      <w:bookmarkStart w:id="645" w:name="_Toc49422095"/>
      <w:bookmarkStart w:id="646" w:name="_Toc49430674"/>
      <w:bookmarkStart w:id="647" w:name="_Toc49430700"/>
      <w:bookmarkStart w:id="648" w:name="_Toc49750477"/>
      <w:bookmarkStart w:id="649" w:name="_Toc49750727"/>
      <w:bookmarkStart w:id="650" w:name="_Toc49750755"/>
      <w:bookmarkStart w:id="651" w:name="_Toc55284841"/>
      <w:bookmarkStart w:id="652" w:name="_Toc55298859"/>
      <w:bookmarkStart w:id="653" w:name="_Toc55373842"/>
      <w:bookmarkStart w:id="654" w:name="_Toc55374018"/>
      <w:bookmarkStart w:id="655" w:name="_Toc55375155"/>
      <w:bookmarkStart w:id="656" w:name="_Toc55396563"/>
      <w:bookmarkStart w:id="657" w:name="_Toc65230560"/>
      <w:bookmarkStart w:id="658" w:name="_Toc65230798"/>
      <w:bookmarkStart w:id="659" w:name="_Toc65232082"/>
      <w:bookmarkStart w:id="660" w:name="_Toc65232327"/>
      <w:bookmarkStart w:id="661" w:name="_Toc66716186"/>
      <w:bookmarkStart w:id="662" w:name="_Toc71097230"/>
      <w:bookmarkStart w:id="663" w:name="_Toc71097261"/>
      <w:bookmarkStart w:id="664" w:name="_Toc71097336"/>
      <w:bookmarkStart w:id="665" w:name="_Toc71108076"/>
      <w:bookmarkStart w:id="666" w:name="_Toc79055270"/>
      <w:bookmarkStart w:id="667" w:name="_Toc79055301"/>
      <w:bookmarkStart w:id="668" w:name="_Toc79060192"/>
      <w:bookmarkStart w:id="669" w:name="_Toc79060479"/>
      <w:bookmarkStart w:id="670" w:name="_Toc81307836"/>
      <w:bookmarkStart w:id="671" w:name="_Toc83376497"/>
      <w:bookmarkStart w:id="672" w:name="_Toc86386736"/>
      <w:bookmarkStart w:id="673" w:name="_Toc8640542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</w:p>
    <w:p w14:paraId="3072C340" w14:textId="79DC1728" w:rsidR="00364844" w:rsidRPr="00AC1506" w:rsidRDefault="00BD6585" w:rsidP="00D11ADD">
      <w:pPr>
        <w:pStyle w:val="Ttulo2"/>
        <w:numPr>
          <w:ilvl w:val="1"/>
          <w:numId w:val="43"/>
        </w:numPr>
        <w:tabs>
          <w:tab w:val="left" w:pos="426"/>
        </w:tabs>
        <w:spacing w:before="0"/>
        <w:ind w:left="284" w:hanging="284"/>
        <w:rPr>
          <w:rFonts w:ascii="Times New Roman" w:hAnsi="Times New Roman" w:cs="Times New Roman"/>
          <w:color w:val="auto"/>
          <w:sz w:val="24"/>
        </w:rPr>
      </w:pPr>
      <w:bookmarkStart w:id="674" w:name="_Toc86405423"/>
      <w:r w:rsidRPr="00AC1506">
        <w:rPr>
          <w:rFonts w:ascii="Times New Roman" w:hAnsi="Times New Roman" w:cs="Times New Roman"/>
          <w:color w:val="auto"/>
          <w:sz w:val="24"/>
        </w:rPr>
        <w:t>R</w:t>
      </w:r>
      <w:r w:rsidR="00540B30" w:rsidRPr="00AC1506">
        <w:rPr>
          <w:rFonts w:ascii="Times New Roman" w:hAnsi="Times New Roman" w:cs="Times New Roman"/>
          <w:color w:val="auto"/>
          <w:sz w:val="24"/>
        </w:rPr>
        <w:t xml:space="preserve">esultado </w:t>
      </w:r>
      <w:r w:rsidR="003C3E6F" w:rsidRPr="00AC1506">
        <w:rPr>
          <w:rFonts w:ascii="Times New Roman" w:hAnsi="Times New Roman" w:cs="Times New Roman"/>
          <w:color w:val="auto"/>
          <w:sz w:val="24"/>
        </w:rPr>
        <w:t>O</w:t>
      </w:r>
      <w:r w:rsidR="00540B30" w:rsidRPr="00AC1506">
        <w:rPr>
          <w:rFonts w:ascii="Times New Roman" w:hAnsi="Times New Roman" w:cs="Times New Roman"/>
          <w:color w:val="auto"/>
          <w:sz w:val="24"/>
        </w:rPr>
        <w:t>perativo</w:t>
      </w:r>
      <w:r w:rsidR="00EE52DF" w:rsidRPr="00AC1506">
        <w:rPr>
          <w:rFonts w:ascii="Times New Roman" w:hAnsi="Times New Roman" w:cs="Times New Roman"/>
          <w:color w:val="auto"/>
          <w:sz w:val="24"/>
        </w:rPr>
        <w:t xml:space="preserve"> </w:t>
      </w:r>
      <w:bookmarkEnd w:id="390"/>
      <w:r w:rsidR="005454E8">
        <w:rPr>
          <w:rFonts w:ascii="Times New Roman" w:hAnsi="Times New Roman" w:cs="Times New Roman"/>
          <w:color w:val="auto"/>
          <w:sz w:val="24"/>
        </w:rPr>
        <w:t>Negativo</w:t>
      </w:r>
      <w:bookmarkEnd w:id="674"/>
    </w:p>
    <w:p w14:paraId="143C2B33" w14:textId="486CE768" w:rsidR="00C03F60" w:rsidRDefault="000E0F3C" w:rsidP="0045490A">
      <w:pPr>
        <w:pStyle w:val="Sinespaciad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El </w:t>
      </w:r>
      <w:r w:rsidR="00E67AA2">
        <w:rPr>
          <w:rFonts w:ascii="Times New Roman" w:hAnsi="Times New Roman" w:cs="Times New Roman"/>
        </w:rPr>
        <w:t>r</w:t>
      </w:r>
      <w:r w:rsidR="007840C8">
        <w:rPr>
          <w:rFonts w:ascii="Times New Roman" w:hAnsi="Times New Roman" w:cs="Times New Roman"/>
        </w:rPr>
        <w:t xml:space="preserve">esultado </w:t>
      </w:r>
      <w:r w:rsidR="00E67AA2">
        <w:rPr>
          <w:rFonts w:ascii="Times New Roman" w:hAnsi="Times New Roman" w:cs="Times New Roman"/>
        </w:rPr>
        <w:t>o</w:t>
      </w:r>
      <w:r w:rsidR="007840C8">
        <w:rPr>
          <w:rFonts w:ascii="Times New Roman" w:hAnsi="Times New Roman" w:cs="Times New Roman"/>
        </w:rPr>
        <w:t xml:space="preserve">perativo </w:t>
      </w:r>
      <w:r w:rsidR="001A2EF4">
        <w:rPr>
          <w:rFonts w:ascii="Times New Roman" w:hAnsi="Times New Roman" w:cs="Times New Roman"/>
        </w:rPr>
        <w:t xml:space="preserve">al tercer trimestre es </w:t>
      </w:r>
      <w:r w:rsidR="0079513D">
        <w:rPr>
          <w:rFonts w:ascii="Times New Roman" w:hAnsi="Times New Roman" w:cs="Times New Roman"/>
        </w:rPr>
        <w:t>negativo</w:t>
      </w:r>
      <w:r w:rsidR="00053AD6" w:rsidRPr="00AC1506">
        <w:rPr>
          <w:rFonts w:ascii="Times New Roman" w:hAnsi="Times New Roman" w:cs="Times New Roman"/>
        </w:rPr>
        <w:t xml:space="preserve"> </w:t>
      </w:r>
      <w:r w:rsidR="00A87FAA">
        <w:rPr>
          <w:rFonts w:ascii="Times New Roman" w:hAnsi="Times New Roman" w:cs="Times New Roman"/>
        </w:rPr>
        <w:t xml:space="preserve">por </w:t>
      </w:r>
      <w:r w:rsidR="007D07F3" w:rsidRPr="00AC1506">
        <w:rPr>
          <w:rFonts w:ascii="Times New Roman" w:hAnsi="Times New Roman" w:cs="Times New Roman"/>
        </w:rPr>
        <w:t>Q</w:t>
      </w:r>
      <w:r w:rsidR="006E237B">
        <w:rPr>
          <w:rFonts w:ascii="Times New Roman" w:hAnsi="Times New Roman" w:cs="Times New Roman"/>
        </w:rPr>
        <w:t>1,442.</w:t>
      </w:r>
      <w:r w:rsidR="00427475">
        <w:rPr>
          <w:rFonts w:ascii="Times New Roman" w:hAnsi="Times New Roman" w:cs="Times New Roman"/>
        </w:rPr>
        <w:t>3</w:t>
      </w:r>
      <w:r w:rsidR="00867E22">
        <w:rPr>
          <w:rFonts w:ascii="Times New Roman" w:hAnsi="Times New Roman" w:cs="Times New Roman"/>
        </w:rPr>
        <w:t xml:space="preserve"> millones</w:t>
      </w:r>
      <w:r w:rsidR="003743AA">
        <w:rPr>
          <w:rFonts w:ascii="Times New Roman" w:hAnsi="Times New Roman" w:cs="Times New Roman"/>
        </w:rPr>
        <w:t>,</w:t>
      </w:r>
      <w:r w:rsidR="009C2556">
        <w:rPr>
          <w:rFonts w:ascii="Times New Roman" w:hAnsi="Times New Roman" w:cs="Times New Roman"/>
        </w:rPr>
        <w:t xml:space="preserve"> lo que implica un deterioro</w:t>
      </w:r>
      <w:r w:rsidR="003743AA">
        <w:rPr>
          <w:rFonts w:ascii="Times New Roman" w:hAnsi="Times New Roman" w:cs="Times New Roman"/>
        </w:rPr>
        <w:t xml:space="preserve"> del patrimonio neto</w:t>
      </w:r>
      <w:r w:rsidR="001B3FE3">
        <w:rPr>
          <w:rFonts w:ascii="Times New Roman" w:hAnsi="Times New Roman" w:cs="Times New Roman"/>
        </w:rPr>
        <w:t xml:space="preserve"> por dicho valor. C</w:t>
      </w:r>
      <w:r w:rsidR="00B542CF">
        <w:rPr>
          <w:rFonts w:ascii="Times New Roman" w:hAnsi="Times New Roman" w:cs="Times New Roman"/>
        </w:rPr>
        <w:t xml:space="preserve">abe mencionar </w:t>
      </w:r>
      <w:r w:rsidR="00C03F60">
        <w:rPr>
          <w:rFonts w:ascii="Times New Roman" w:hAnsi="Times New Roman" w:cs="Times New Roman"/>
        </w:rPr>
        <w:t>que,</w:t>
      </w:r>
      <w:r w:rsidR="00B542CF">
        <w:rPr>
          <w:rFonts w:ascii="Times New Roman" w:hAnsi="Times New Roman" w:cs="Times New Roman"/>
        </w:rPr>
        <w:t xml:space="preserve"> </w:t>
      </w:r>
      <w:r w:rsidR="001B3FE3">
        <w:rPr>
          <w:rFonts w:ascii="Times New Roman" w:hAnsi="Times New Roman" w:cs="Times New Roman"/>
        </w:rPr>
        <w:t>en comparación con lo observado en el año 2020, este es</w:t>
      </w:r>
      <w:r w:rsidR="00A266F7">
        <w:rPr>
          <w:rFonts w:ascii="Times New Roman" w:hAnsi="Times New Roman" w:cs="Times New Roman"/>
        </w:rPr>
        <w:t xml:space="preserve"> una mejora </w:t>
      </w:r>
      <w:r w:rsidR="001B3FE3">
        <w:rPr>
          <w:rFonts w:ascii="Times New Roman" w:hAnsi="Times New Roman" w:cs="Times New Roman"/>
        </w:rPr>
        <w:t>relativa</w:t>
      </w:r>
      <w:r w:rsidR="001672FB">
        <w:rPr>
          <w:rFonts w:ascii="Times New Roman" w:hAnsi="Times New Roman" w:cs="Times New Roman"/>
        </w:rPr>
        <w:t xml:space="preserve"> dado que al mismo </w:t>
      </w:r>
      <w:r w:rsidR="00877340">
        <w:rPr>
          <w:rFonts w:ascii="Times New Roman" w:hAnsi="Times New Roman" w:cs="Times New Roman"/>
        </w:rPr>
        <w:t xml:space="preserve">período </w:t>
      </w:r>
      <w:r w:rsidR="001672FB">
        <w:rPr>
          <w:rFonts w:ascii="Times New Roman" w:hAnsi="Times New Roman" w:cs="Times New Roman"/>
        </w:rPr>
        <w:t xml:space="preserve">se </w:t>
      </w:r>
      <w:r w:rsidR="00A266F7">
        <w:rPr>
          <w:rFonts w:ascii="Times New Roman" w:hAnsi="Times New Roman" w:cs="Times New Roman"/>
        </w:rPr>
        <w:t xml:space="preserve">había </w:t>
      </w:r>
      <w:r w:rsidR="001672FB">
        <w:rPr>
          <w:rFonts w:ascii="Times New Roman" w:hAnsi="Times New Roman" w:cs="Times New Roman"/>
        </w:rPr>
        <w:t>observado un valor</w:t>
      </w:r>
      <w:r w:rsidR="00A266F7">
        <w:rPr>
          <w:rFonts w:ascii="Times New Roman" w:hAnsi="Times New Roman" w:cs="Times New Roman"/>
        </w:rPr>
        <w:t xml:space="preserve"> negativo por Q</w:t>
      </w:r>
      <w:r w:rsidR="002E7729">
        <w:rPr>
          <w:rFonts w:ascii="Times New Roman" w:hAnsi="Times New Roman" w:cs="Times New Roman"/>
        </w:rPr>
        <w:t>15,350.8 millones, es decir</w:t>
      </w:r>
      <w:r w:rsidR="00B435E7">
        <w:rPr>
          <w:rFonts w:ascii="Times New Roman" w:hAnsi="Times New Roman" w:cs="Times New Roman"/>
        </w:rPr>
        <w:t>,</w:t>
      </w:r>
      <w:r w:rsidR="00FB7FD4">
        <w:rPr>
          <w:rFonts w:ascii="Times New Roman" w:hAnsi="Times New Roman" w:cs="Times New Roman"/>
        </w:rPr>
        <w:t xml:space="preserve"> el deterioro del patrimonio neto por el flujo de operaciones </w:t>
      </w:r>
      <w:r w:rsidR="00B435E7">
        <w:rPr>
          <w:rFonts w:ascii="Times New Roman" w:hAnsi="Times New Roman" w:cs="Times New Roman"/>
        </w:rPr>
        <w:t>fue</w:t>
      </w:r>
      <w:r w:rsidR="00FB7FD4">
        <w:rPr>
          <w:rFonts w:ascii="Times New Roman" w:hAnsi="Times New Roman" w:cs="Times New Roman"/>
        </w:rPr>
        <w:t xml:space="preserve"> </w:t>
      </w:r>
      <w:r w:rsidR="00012ACD">
        <w:rPr>
          <w:rFonts w:ascii="Times New Roman" w:hAnsi="Times New Roman" w:cs="Times New Roman"/>
        </w:rPr>
        <w:t xml:space="preserve">mayor </w:t>
      </w:r>
      <w:r w:rsidR="00C51954">
        <w:rPr>
          <w:rFonts w:ascii="Times New Roman" w:hAnsi="Times New Roman" w:cs="Times New Roman"/>
        </w:rPr>
        <w:t xml:space="preserve">el año anterior </w:t>
      </w:r>
      <w:r w:rsidR="00012ACD">
        <w:rPr>
          <w:rFonts w:ascii="Times New Roman" w:hAnsi="Times New Roman" w:cs="Times New Roman"/>
        </w:rPr>
        <w:t>en Q13,908.5 millones</w:t>
      </w:r>
      <w:r w:rsidR="00C03F60">
        <w:rPr>
          <w:rFonts w:ascii="Times New Roman" w:hAnsi="Times New Roman" w:cs="Times New Roman"/>
        </w:rPr>
        <w:t xml:space="preserve">. </w:t>
      </w:r>
    </w:p>
    <w:p w14:paraId="5B01ED16" w14:textId="77777777" w:rsidR="00C03F60" w:rsidRDefault="00C03F60" w:rsidP="0045490A">
      <w:pPr>
        <w:pStyle w:val="Sinespaciado"/>
        <w:jc w:val="both"/>
        <w:rPr>
          <w:rFonts w:ascii="Times New Roman" w:hAnsi="Times New Roman" w:cs="Times New Roman"/>
        </w:rPr>
      </w:pPr>
    </w:p>
    <w:p w14:paraId="4FB717FF" w14:textId="633550FB" w:rsidR="004B5293" w:rsidRPr="00AC1506" w:rsidRDefault="00C03F60" w:rsidP="0045490A">
      <w:pPr>
        <w:pStyle w:val="Sinespaciad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6B72FB">
        <w:rPr>
          <w:rFonts w:ascii="Times New Roman" w:hAnsi="Times New Roman" w:cs="Times New Roman"/>
        </w:rPr>
        <w:t>n cuanto al</w:t>
      </w:r>
      <w:r w:rsidR="007F30B6" w:rsidRPr="00AC1506">
        <w:rPr>
          <w:rFonts w:ascii="Times New Roman" w:hAnsi="Times New Roman" w:cs="Times New Roman"/>
        </w:rPr>
        <w:t xml:space="preserve"> resultado operativo primario</w:t>
      </w:r>
      <w:r w:rsidR="00C76397" w:rsidRPr="00AC1506">
        <w:rPr>
          <w:rFonts w:ascii="Times New Roman" w:hAnsi="Times New Roman" w:cs="Times New Roman"/>
        </w:rPr>
        <w:t xml:space="preserve"> (</w:t>
      </w:r>
      <w:r w:rsidR="00343934" w:rsidRPr="00AC1506">
        <w:rPr>
          <w:rFonts w:ascii="Times New Roman" w:hAnsi="Times New Roman" w:cs="Times New Roman"/>
        </w:rPr>
        <w:t>sin considerar el pago de intereses</w:t>
      </w:r>
      <w:r w:rsidR="00877340">
        <w:rPr>
          <w:rFonts w:ascii="Times New Roman" w:hAnsi="Times New Roman" w:cs="Times New Roman"/>
        </w:rPr>
        <w:t xml:space="preserve"> </w:t>
      </w:r>
      <w:r w:rsidR="00343934" w:rsidRPr="00AC1506">
        <w:rPr>
          <w:rFonts w:ascii="Times New Roman" w:hAnsi="Times New Roman" w:cs="Times New Roman"/>
        </w:rPr>
        <w:t>de la deuda pública</w:t>
      </w:r>
      <w:r w:rsidR="00877340">
        <w:rPr>
          <w:rFonts w:ascii="Times New Roman" w:hAnsi="Times New Roman" w:cs="Times New Roman"/>
        </w:rPr>
        <w:t xml:space="preserve"> interna y externa</w:t>
      </w:r>
      <w:r w:rsidR="00385368" w:rsidRPr="00AC1506">
        <w:rPr>
          <w:rFonts w:ascii="Times New Roman" w:hAnsi="Times New Roman" w:cs="Times New Roman"/>
        </w:rPr>
        <w:t>)</w:t>
      </w:r>
      <w:r w:rsidR="007F30B6" w:rsidRPr="00AC1506">
        <w:rPr>
          <w:rFonts w:ascii="Times New Roman" w:hAnsi="Times New Roman" w:cs="Times New Roman"/>
        </w:rPr>
        <w:t xml:space="preserve"> </w:t>
      </w:r>
      <w:r w:rsidR="006B72FB">
        <w:rPr>
          <w:rFonts w:ascii="Times New Roman" w:hAnsi="Times New Roman" w:cs="Times New Roman"/>
        </w:rPr>
        <w:t xml:space="preserve">para el presente año es </w:t>
      </w:r>
      <w:r w:rsidR="004777C0">
        <w:rPr>
          <w:rFonts w:ascii="Times New Roman" w:hAnsi="Times New Roman" w:cs="Times New Roman"/>
        </w:rPr>
        <w:t>positivo</w:t>
      </w:r>
      <w:r w:rsidR="00C76397" w:rsidRPr="00AC1506">
        <w:rPr>
          <w:rFonts w:ascii="Times New Roman" w:hAnsi="Times New Roman" w:cs="Times New Roman"/>
        </w:rPr>
        <w:t xml:space="preserve"> por Q</w:t>
      </w:r>
      <w:r w:rsidR="00791DFD">
        <w:rPr>
          <w:rFonts w:ascii="Times New Roman" w:hAnsi="Times New Roman" w:cs="Times New Roman"/>
        </w:rPr>
        <w:t>6</w:t>
      </w:r>
      <w:r w:rsidR="00C76397" w:rsidRPr="00AC1506">
        <w:rPr>
          <w:rFonts w:ascii="Times New Roman" w:hAnsi="Times New Roman" w:cs="Times New Roman"/>
        </w:rPr>
        <w:t>,</w:t>
      </w:r>
      <w:r w:rsidR="00791DFD">
        <w:rPr>
          <w:rFonts w:ascii="Times New Roman" w:hAnsi="Times New Roman" w:cs="Times New Roman"/>
        </w:rPr>
        <w:t>373</w:t>
      </w:r>
      <w:r w:rsidR="004777C0">
        <w:rPr>
          <w:rFonts w:ascii="Times New Roman" w:hAnsi="Times New Roman" w:cs="Times New Roman"/>
        </w:rPr>
        <w:t>.</w:t>
      </w:r>
      <w:r w:rsidR="005D66ED">
        <w:rPr>
          <w:rFonts w:ascii="Times New Roman" w:hAnsi="Times New Roman" w:cs="Times New Roman"/>
        </w:rPr>
        <w:t>4</w:t>
      </w:r>
      <w:r w:rsidR="00C76397" w:rsidRPr="00AC1506">
        <w:rPr>
          <w:rFonts w:ascii="Times New Roman" w:hAnsi="Times New Roman" w:cs="Times New Roman"/>
        </w:rPr>
        <w:t xml:space="preserve"> millones</w:t>
      </w:r>
      <w:r w:rsidR="00791DFD">
        <w:rPr>
          <w:rFonts w:ascii="Times New Roman" w:hAnsi="Times New Roman" w:cs="Times New Roman"/>
        </w:rPr>
        <w:t xml:space="preserve"> y en 2020 había sido </w:t>
      </w:r>
      <w:r w:rsidR="00304DA3">
        <w:rPr>
          <w:rFonts w:ascii="Times New Roman" w:hAnsi="Times New Roman" w:cs="Times New Roman"/>
        </w:rPr>
        <w:t>negativo por Q8,693.1 millones</w:t>
      </w:r>
      <w:r w:rsidR="004D3EA8" w:rsidRPr="00AC1506">
        <w:rPr>
          <w:rFonts w:ascii="Times New Roman" w:hAnsi="Times New Roman" w:cs="Times New Roman"/>
        </w:rPr>
        <w:t>.</w:t>
      </w:r>
    </w:p>
    <w:p w14:paraId="5A96EBFC" w14:textId="35939DC9" w:rsidR="004B5293" w:rsidRPr="00AC1506" w:rsidRDefault="004B5293" w:rsidP="00EE52DF">
      <w:pPr>
        <w:pStyle w:val="Sinespaciado"/>
        <w:jc w:val="both"/>
        <w:rPr>
          <w:rFonts w:ascii="Times New Roman" w:hAnsi="Times New Roman" w:cs="Times New Roman"/>
        </w:rPr>
      </w:pPr>
    </w:p>
    <w:p w14:paraId="05EB2ED1" w14:textId="68F84324" w:rsidR="00374C59" w:rsidRPr="00AC1506" w:rsidRDefault="00414C97" w:rsidP="00D11ADD">
      <w:pPr>
        <w:pStyle w:val="Ttulo2"/>
        <w:numPr>
          <w:ilvl w:val="1"/>
          <w:numId w:val="43"/>
        </w:numPr>
        <w:tabs>
          <w:tab w:val="left" w:pos="426"/>
        </w:tabs>
        <w:spacing w:before="0"/>
        <w:ind w:left="284" w:hanging="284"/>
        <w:rPr>
          <w:rFonts w:ascii="Times New Roman" w:hAnsi="Times New Roman" w:cs="Times New Roman"/>
          <w:color w:val="auto"/>
          <w:sz w:val="24"/>
        </w:rPr>
      </w:pPr>
      <w:bookmarkStart w:id="675" w:name="_Toc86405424"/>
      <w:r w:rsidRPr="00AC1506">
        <w:rPr>
          <w:rFonts w:ascii="Times New Roman" w:hAnsi="Times New Roman" w:cs="Times New Roman"/>
          <w:color w:val="auto"/>
          <w:sz w:val="24"/>
        </w:rPr>
        <w:t xml:space="preserve">Endeudamiento </w:t>
      </w:r>
      <w:r w:rsidR="00710C6F" w:rsidRPr="00AC1506">
        <w:rPr>
          <w:rFonts w:ascii="Times New Roman" w:hAnsi="Times New Roman" w:cs="Times New Roman"/>
          <w:color w:val="auto"/>
          <w:sz w:val="24"/>
        </w:rPr>
        <w:t>(</w:t>
      </w:r>
      <w:r w:rsidRPr="00AC1506">
        <w:rPr>
          <w:rFonts w:ascii="Times New Roman" w:hAnsi="Times New Roman" w:cs="Times New Roman"/>
          <w:color w:val="auto"/>
          <w:sz w:val="24"/>
        </w:rPr>
        <w:t>Déficit fiscal)</w:t>
      </w:r>
      <w:r w:rsidR="00BE56C3">
        <w:rPr>
          <w:rFonts w:ascii="Times New Roman" w:hAnsi="Times New Roman" w:cs="Times New Roman"/>
          <w:color w:val="auto"/>
          <w:sz w:val="24"/>
        </w:rPr>
        <w:t xml:space="preserve"> moderado</w:t>
      </w:r>
      <w:bookmarkEnd w:id="675"/>
    </w:p>
    <w:p w14:paraId="796FCDDB" w14:textId="6EB911C9" w:rsidR="007C0362" w:rsidRDefault="00C03F60" w:rsidP="00220281">
      <w:pPr>
        <w:pStyle w:val="Sinespaciad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 materia de </w:t>
      </w:r>
      <w:r w:rsidR="00435F33">
        <w:rPr>
          <w:rFonts w:ascii="Times New Roman" w:hAnsi="Times New Roman" w:cs="Times New Roman"/>
        </w:rPr>
        <w:t>endeudamiento</w:t>
      </w:r>
      <w:r w:rsidR="00D66DC3">
        <w:rPr>
          <w:rFonts w:ascii="Times New Roman" w:hAnsi="Times New Roman" w:cs="Times New Roman"/>
        </w:rPr>
        <w:t xml:space="preserve"> </w:t>
      </w:r>
      <w:r w:rsidR="006F5782" w:rsidRPr="00AC1506">
        <w:rPr>
          <w:rFonts w:ascii="Times New Roman" w:hAnsi="Times New Roman" w:cs="Times New Roman"/>
        </w:rPr>
        <w:t>(</w:t>
      </w:r>
      <w:r w:rsidR="00435F33">
        <w:rPr>
          <w:rFonts w:ascii="Times New Roman" w:hAnsi="Times New Roman" w:cs="Times New Roman"/>
        </w:rPr>
        <w:t>déficit</w:t>
      </w:r>
      <w:r w:rsidR="003E49B2">
        <w:rPr>
          <w:rFonts w:ascii="Times New Roman" w:hAnsi="Times New Roman" w:cs="Times New Roman"/>
        </w:rPr>
        <w:t xml:space="preserve"> fiscal</w:t>
      </w:r>
      <w:r w:rsidR="006F5782" w:rsidRPr="00AC1506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, al</w:t>
      </w:r>
      <w:r w:rsidR="007B00C2">
        <w:rPr>
          <w:rFonts w:ascii="Times New Roman" w:hAnsi="Times New Roman" w:cs="Times New Roman"/>
        </w:rPr>
        <w:t xml:space="preserve"> mes de septiembre se observa para </w:t>
      </w:r>
      <w:r w:rsidR="00253CD8">
        <w:rPr>
          <w:rFonts w:ascii="Times New Roman" w:hAnsi="Times New Roman" w:cs="Times New Roman"/>
        </w:rPr>
        <w:t xml:space="preserve">Gobierno Central Presupuestario </w:t>
      </w:r>
      <w:r w:rsidR="007B00C2">
        <w:rPr>
          <w:rFonts w:ascii="Times New Roman" w:hAnsi="Times New Roman" w:cs="Times New Roman"/>
        </w:rPr>
        <w:t xml:space="preserve">un </w:t>
      </w:r>
      <w:r w:rsidR="007B3898">
        <w:rPr>
          <w:rFonts w:ascii="Times New Roman" w:hAnsi="Times New Roman" w:cs="Times New Roman"/>
        </w:rPr>
        <w:t xml:space="preserve">nivel </w:t>
      </w:r>
      <w:r w:rsidR="007B00C2">
        <w:rPr>
          <w:rFonts w:ascii="Times New Roman" w:hAnsi="Times New Roman" w:cs="Times New Roman"/>
        </w:rPr>
        <w:t xml:space="preserve">de </w:t>
      </w:r>
      <w:r w:rsidR="006F5782" w:rsidRPr="00AC1506">
        <w:rPr>
          <w:rFonts w:ascii="Times New Roman" w:hAnsi="Times New Roman" w:cs="Times New Roman"/>
        </w:rPr>
        <w:t>Q</w:t>
      </w:r>
      <w:r w:rsidR="002B6246">
        <w:rPr>
          <w:rFonts w:ascii="Times New Roman" w:hAnsi="Times New Roman" w:cs="Times New Roman"/>
        </w:rPr>
        <w:t>3</w:t>
      </w:r>
      <w:r w:rsidR="00B70774" w:rsidRPr="00AC1506">
        <w:rPr>
          <w:rFonts w:ascii="Times New Roman" w:hAnsi="Times New Roman" w:cs="Times New Roman"/>
        </w:rPr>
        <w:t>,</w:t>
      </w:r>
      <w:r w:rsidR="002B6246">
        <w:rPr>
          <w:rFonts w:ascii="Times New Roman" w:hAnsi="Times New Roman" w:cs="Times New Roman"/>
        </w:rPr>
        <w:t>665</w:t>
      </w:r>
      <w:r w:rsidR="00B70774" w:rsidRPr="00AC1506">
        <w:rPr>
          <w:rFonts w:ascii="Times New Roman" w:hAnsi="Times New Roman" w:cs="Times New Roman"/>
        </w:rPr>
        <w:t>.</w:t>
      </w:r>
      <w:r w:rsidR="002B6246">
        <w:rPr>
          <w:rFonts w:ascii="Times New Roman" w:hAnsi="Times New Roman" w:cs="Times New Roman"/>
        </w:rPr>
        <w:t>3</w:t>
      </w:r>
      <w:r w:rsidR="00C339D9" w:rsidRPr="00AC1506">
        <w:rPr>
          <w:rFonts w:ascii="Times New Roman" w:hAnsi="Times New Roman" w:cs="Times New Roman"/>
        </w:rPr>
        <w:t xml:space="preserve"> </w:t>
      </w:r>
      <w:r w:rsidR="006B6F8B" w:rsidRPr="00AC1506">
        <w:rPr>
          <w:rFonts w:ascii="Times New Roman" w:hAnsi="Times New Roman" w:cs="Times New Roman"/>
        </w:rPr>
        <w:t xml:space="preserve">millones, </w:t>
      </w:r>
      <w:r w:rsidR="001D708B">
        <w:rPr>
          <w:rFonts w:ascii="Times New Roman" w:hAnsi="Times New Roman" w:cs="Times New Roman"/>
        </w:rPr>
        <w:t xml:space="preserve">cifra significativamente menor al observado al mismo periodo del año previo que había sido de </w:t>
      </w:r>
      <w:r w:rsidR="008E27DB">
        <w:rPr>
          <w:rFonts w:ascii="Times New Roman" w:hAnsi="Times New Roman" w:cs="Times New Roman"/>
        </w:rPr>
        <w:t>Q</w:t>
      </w:r>
      <w:r w:rsidR="001D708B" w:rsidRPr="001D708B">
        <w:rPr>
          <w:rFonts w:ascii="Times New Roman" w:hAnsi="Times New Roman" w:cs="Times New Roman"/>
        </w:rPr>
        <w:t>17,264.7</w:t>
      </w:r>
      <w:r w:rsidR="00153921">
        <w:rPr>
          <w:rFonts w:ascii="Times New Roman" w:hAnsi="Times New Roman" w:cs="Times New Roman"/>
        </w:rPr>
        <w:t xml:space="preserve"> millones</w:t>
      </w:r>
      <w:r w:rsidR="00BA73CD">
        <w:rPr>
          <w:rFonts w:ascii="Times New Roman" w:hAnsi="Times New Roman" w:cs="Times New Roman"/>
        </w:rPr>
        <w:t xml:space="preserve">, esto es una diferencia </w:t>
      </w:r>
      <w:r w:rsidR="00E32B14">
        <w:rPr>
          <w:rFonts w:ascii="Times New Roman" w:hAnsi="Times New Roman" w:cs="Times New Roman"/>
        </w:rPr>
        <w:t xml:space="preserve">absoluta de Q13,599.4 millones. </w:t>
      </w:r>
    </w:p>
    <w:p w14:paraId="1B218D2E" w14:textId="77777777" w:rsidR="007C0362" w:rsidRDefault="007C0362" w:rsidP="00220281">
      <w:pPr>
        <w:pStyle w:val="Sinespaciado"/>
        <w:jc w:val="both"/>
        <w:rPr>
          <w:rFonts w:ascii="Times New Roman" w:hAnsi="Times New Roman" w:cs="Times New Roman"/>
        </w:rPr>
      </w:pPr>
    </w:p>
    <w:p w14:paraId="5BA8F087" w14:textId="5C742C37" w:rsidR="00FC2D03" w:rsidRDefault="00E32B14" w:rsidP="00220281">
      <w:pPr>
        <w:pStyle w:val="Sinespaciad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 buena medida, est</w:t>
      </w:r>
      <w:r w:rsidR="006D60C2">
        <w:rPr>
          <w:rFonts w:ascii="Times New Roman" w:hAnsi="Times New Roman" w:cs="Times New Roman"/>
        </w:rPr>
        <w:t xml:space="preserve">a diferencia entre </w:t>
      </w:r>
      <w:r w:rsidR="000326D8">
        <w:rPr>
          <w:rFonts w:ascii="Times New Roman" w:hAnsi="Times New Roman" w:cs="Times New Roman"/>
        </w:rPr>
        <w:t>ambos</w:t>
      </w:r>
      <w:r w:rsidR="006D60C2">
        <w:rPr>
          <w:rFonts w:ascii="Times New Roman" w:hAnsi="Times New Roman" w:cs="Times New Roman"/>
        </w:rPr>
        <w:t xml:space="preserve"> años es explicad</w:t>
      </w:r>
      <w:r w:rsidR="00376852">
        <w:rPr>
          <w:rFonts w:ascii="Times New Roman" w:hAnsi="Times New Roman" w:cs="Times New Roman"/>
        </w:rPr>
        <w:t>a</w:t>
      </w:r>
      <w:r w:rsidR="006D60C2">
        <w:rPr>
          <w:rFonts w:ascii="Times New Roman" w:hAnsi="Times New Roman" w:cs="Times New Roman"/>
        </w:rPr>
        <w:t xml:space="preserve"> por el buen dinamismo que ha mostrado los </w:t>
      </w:r>
      <w:r w:rsidR="00CE2839">
        <w:rPr>
          <w:rFonts w:ascii="Times New Roman" w:hAnsi="Times New Roman" w:cs="Times New Roman"/>
        </w:rPr>
        <w:t xml:space="preserve">impuestos </w:t>
      </w:r>
      <w:r w:rsidR="003B3BE5">
        <w:rPr>
          <w:rFonts w:ascii="Times New Roman" w:hAnsi="Times New Roman" w:cs="Times New Roman"/>
        </w:rPr>
        <w:t>durante estos 9 meses</w:t>
      </w:r>
      <w:r w:rsidR="000B4929">
        <w:rPr>
          <w:rFonts w:ascii="Times New Roman" w:hAnsi="Times New Roman" w:cs="Times New Roman"/>
        </w:rPr>
        <w:t xml:space="preserve"> del 2021</w:t>
      </w:r>
      <w:r w:rsidR="003B3BE5">
        <w:rPr>
          <w:rFonts w:ascii="Times New Roman" w:hAnsi="Times New Roman" w:cs="Times New Roman"/>
        </w:rPr>
        <w:t xml:space="preserve"> y </w:t>
      </w:r>
      <w:r w:rsidR="000B4929">
        <w:rPr>
          <w:rFonts w:ascii="Times New Roman" w:hAnsi="Times New Roman" w:cs="Times New Roman"/>
        </w:rPr>
        <w:t xml:space="preserve">que el gasto </w:t>
      </w:r>
      <w:r w:rsidR="002D1632">
        <w:rPr>
          <w:rFonts w:ascii="Times New Roman" w:hAnsi="Times New Roman" w:cs="Times New Roman"/>
        </w:rPr>
        <w:t>p</w:t>
      </w:r>
      <w:r w:rsidR="000B4929">
        <w:rPr>
          <w:rFonts w:ascii="Times New Roman" w:hAnsi="Times New Roman" w:cs="Times New Roman"/>
        </w:rPr>
        <w:t>úblico</w:t>
      </w:r>
      <w:r w:rsidR="001209E8">
        <w:rPr>
          <w:rFonts w:ascii="Times New Roman" w:hAnsi="Times New Roman" w:cs="Times New Roman"/>
        </w:rPr>
        <w:t xml:space="preserve"> asociado al Covid-19 ha sido </w:t>
      </w:r>
      <w:r w:rsidR="00153921">
        <w:rPr>
          <w:rFonts w:ascii="Times New Roman" w:hAnsi="Times New Roman" w:cs="Times New Roman"/>
        </w:rPr>
        <w:t xml:space="preserve">significativamente </w:t>
      </w:r>
      <w:r w:rsidR="001209E8">
        <w:rPr>
          <w:rFonts w:ascii="Times New Roman" w:hAnsi="Times New Roman" w:cs="Times New Roman"/>
        </w:rPr>
        <w:t xml:space="preserve">menor a lo observado en </w:t>
      </w:r>
      <w:r w:rsidR="00343F0F">
        <w:rPr>
          <w:rFonts w:ascii="Times New Roman" w:hAnsi="Times New Roman" w:cs="Times New Roman"/>
        </w:rPr>
        <w:t>2020, apoyando</w:t>
      </w:r>
      <w:r w:rsidR="007B3898">
        <w:rPr>
          <w:rFonts w:ascii="Times New Roman" w:hAnsi="Times New Roman" w:cs="Times New Roman"/>
        </w:rPr>
        <w:t xml:space="preserve"> con ello al proceso de consolidación fiscal.</w:t>
      </w:r>
    </w:p>
    <w:p w14:paraId="56AC1923" w14:textId="234D4AEE" w:rsidR="0006231C" w:rsidRDefault="0006231C" w:rsidP="00220281">
      <w:pPr>
        <w:pStyle w:val="Sinespaciado"/>
        <w:jc w:val="both"/>
        <w:rPr>
          <w:rFonts w:cs="Times New Roman"/>
          <w:b/>
          <w:lang w:val="es-MX"/>
        </w:rPr>
      </w:pPr>
    </w:p>
    <w:p w14:paraId="3FCD02A2" w14:textId="77777777" w:rsidR="00351EDC" w:rsidRDefault="00351EDC">
      <w:pPr>
        <w:spacing w:after="200" w:line="276" w:lineRule="auto"/>
        <w:jc w:val="left"/>
        <w:rPr>
          <w:rFonts w:cs="Times New Roman"/>
          <w:b/>
          <w:szCs w:val="22"/>
          <w:lang w:val="es-MX"/>
        </w:rPr>
      </w:pPr>
      <w:r>
        <w:rPr>
          <w:rFonts w:cs="Times New Roman"/>
          <w:b/>
          <w:szCs w:val="22"/>
          <w:lang w:val="es-MX"/>
        </w:rPr>
        <w:br w:type="page"/>
      </w:r>
    </w:p>
    <w:p w14:paraId="3414FDFB" w14:textId="1308485E" w:rsidR="00264A75" w:rsidRPr="00AC1506" w:rsidRDefault="00264A75" w:rsidP="00997543">
      <w:pPr>
        <w:jc w:val="center"/>
        <w:rPr>
          <w:rFonts w:cs="Times New Roman"/>
          <w:b/>
          <w:szCs w:val="22"/>
          <w:lang w:val="es-MX"/>
        </w:rPr>
      </w:pPr>
      <w:r w:rsidRPr="00AC1506">
        <w:rPr>
          <w:rFonts w:cs="Times New Roman"/>
          <w:b/>
          <w:szCs w:val="22"/>
          <w:lang w:val="es-MX"/>
        </w:rPr>
        <w:lastRenderedPageBreak/>
        <w:t xml:space="preserve">Estado de </w:t>
      </w:r>
      <w:r w:rsidR="00697544" w:rsidRPr="00AC1506">
        <w:rPr>
          <w:rFonts w:cs="Times New Roman"/>
          <w:b/>
          <w:szCs w:val="22"/>
          <w:lang w:val="es-MX"/>
        </w:rPr>
        <w:t>O</w:t>
      </w:r>
      <w:r w:rsidRPr="00AC1506">
        <w:rPr>
          <w:rFonts w:cs="Times New Roman"/>
          <w:b/>
          <w:szCs w:val="22"/>
          <w:lang w:val="es-MX"/>
        </w:rPr>
        <w:t>peraciones</w:t>
      </w:r>
      <w:r w:rsidR="007105EE" w:rsidRPr="00AC1506">
        <w:rPr>
          <w:rFonts w:cs="Times New Roman"/>
          <w:b/>
          <w:szCs w:val="22"/>
          <w:lang w:val="es-MX"/>
        </w:rPr>
        <w:t xml:space="preserve"> </w:t>
      </w:r>
      <w:r w:rsidRPr="00AC1506">
        <w:rPr>
          <w:rFonts w:cs="Times New Roman"/>
          <w:b/>
          <w:szCs w:val="22"/>
          <w:lang w:val="es-MX"/>
        </w:rPr>
        <w:t>del Gobierno Central Presupuestario</w:t>
      </w:r>
    </w:p>
    <w:p w14:paraId="2E3C6876" w14:textId="08B438E7" w:rsidR="007105EE" w:rsidRPr="00AC1506" w:rsidRDefault="007105EE" w:rsidP="00997543">
      <w:pPr>
        <w:jc w:val="center"/>
        <w:rPr>
          <w:rFonts w:cs="Times New Roman"/>
          <w:b/>
          <w:szCs w:val="22"/>
          <w:lang w:val="es-MX"/>
        </w:rPr>
      </w:pPr>
      <w:r w:rsidRPr="00AC1506">
        <w:rPr>
          <w:rFonts w:cs="Times New Roman"/>
          <w:b/>
          <w:szCs w:val="22"/>
          <w:lang w:val="es-MX"/>
        </w:rPr>
        <w:t xml:space="preserve">Cifras acumuladas a </w:t>
      </w:r>
      <w:r w:rsidR="00335AE0">
        <w:rPr>
          <w:rFonts w:cs="Times New Roman"/>
          <w:b/>
          <w:szCs w:val="22"/>
          <w:lang w:val="es-MX"/>
        </w:rPr>
        <w:t>septiembre</w:t>
      </w:r>
      <w:r w:rsidR="0040363B">
        <w:rPr>
          <w:rFonts w:cs="Times New Roman"/>
          <w:b/>
          <w:szCs w:val="22"/>
          <w:lang w:val="es-MX"/>
        </w:rPr>
        <w:t xml:space="preserve"> de cada año</w:t>
      </w:r>
      <w:r w:rsidRPr="00AC1506">
        <w:rPr>
          <w:rFonts w:cs="Times New Roman"/>
          <w:b/>
          <w:szCs w:val="22"/>
          <w:lang w:val="es-MX"/>
        </w:rPr>
        <w:t>*</w:t>
      </w:r>
    </w:p>
    <w:p w14:paraId="573DB828" w14:textId="79DD8E71" w:rsidR="00697544" w:rsidRDefault="00697544" w:rsidP="00AB01D3">
      <w:pPr>
        <w:spacing w:after="240"/>
        <w:jc w:val="center"/>
        <w:rPr>
          <w:rFonts w:cs="Times New Roman"/>
          <w:bCs/>
          <w:szCs w:val="22"/>
          <w:lang w:val="es-MX"/>
        </w:rPr>
      </w:pPr>
      <w:r w:rsidRPr="00AC1506">
        <w:rPr>
          <w:rFonts w:cs="Times New Roman"/>
          <w:bCs/>
          <w:szCs w:val="22"/>
          <w:lang w:val="es-MX"/>
        </w:rPr>
        <w:t>En millones de Quetzales</w:t>
      </w:r>
      <w:r w:rsidR="00414C97" w:rsidRPr="00AC1506">
        <w:rPr>
          <w:rFonts w:cs="Times New Roman"/>
          <w:bCs/>
          <w:szCs w:val="22"/>
          <w:lang w:val="es-MX"/>
        </w:rPr>
        <w:t xml:space="preserve"> y</w:t>
      </w:r>
      <w:r w:rsidR="0090006B">
        <w:rPr>
          <w:rFonts w:cs="Times New Roman"/>
          <w:bCs/>
          <w:szCs w:val="22"/>
          <w:lang w:val="es-MX"/>
        </w:rPr>
        <w:t xml:space="preserve"> </w:t>
      </w:r>
      <w:r w:rsidR="00414C97" w:rsidRPr="00AC1506">
        <w:rPr>
          <w:rFonts w:cs="Times New Roman"/>
          <w:bCs/>
          <w:szCs w:val="22"/>
          <w:lang w:val="es-MX"/>
        </w:rPr>
        <w:t>Porcentajes</w:t>
      </w:r>
    </w:p>
    <w:tbl>
      <w:tblPr>
        <w:tblW w:w="72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7"/>
        <w:gridCol w:w="945"/>
        <w:gridCol w:w="945"/>
        <w:gridCol w:w="945"/>
        <w:gridCol w:w="911"/>
      </w:tblGrid>
      <w:tr w:rsidR="00844F46" w:rsidRPr="00844F46" w14:paraId="7189854A" w14:textId="77777777" w:rsidTr="002700BC">
        <w:trPr>
          <w:trHeight w:val="267"/>
          <w:jc w:val="center"/>
        </w:trPr>
        <w:tc>
          <w:tcPr>
            <w:tcW w:w="34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44546A"/>
            <w:noWrap/>
            <w:vAlign w:val="center"/>
            <w:hideMark/>
          </w:tcPr>
          <w:p w14:paraId="5E0E8680" w14:textId="77777777" w:rsidR="00844F46" w:rsidRPr="00844F46" w:rsidRDefault="00844F46" w:rsidP="00844F46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Descripción</w:t>
            </w:r>
          </w:p>
        </w:tc>
        <w:tc>
          <w:tcPr>
            <w:tcW w:w="9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44546A"/>
            <w:vAlign w:val="center"/>
            <w:hideMark/>
          </w:tcPr>
          <w:p w14:paraId="6E4AD4AF" w14:textId="3FF386D6" w:rsidR="00844F46" w:rsidRPr="00844F46" w:rsidRDefault="00844F46" w:rsidP="00844F46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20</w:t>
            </w:r>
            <w:r w:rsidR="008251CF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20</w:t>
            </w:r>
          </w:p>
        </w:tc>
        <w:tc>
          <w:tcPr>
            <w:tcW w:w="9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44546A"/>
            <w:vAlign w:val="center"/>
            <w:hideMark/>
          </w:tcPr>
          <w:p w14:paraId="47CE24E6" w14:textId="290BE4E0" w:rsidR="00844F46" w:rsidRPr="00844F46" w:rsidRDefault="00844F46" w:rsidP="00844F46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20</w:t>
            </w:r>
            <w:r w:rsidR="008251CF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21</w:t>
            </w:r>
            <w:r w:rsidRPr="00844F46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*</w:t>
            </w:r>
          </w:p>
        </w:tc>
        <w:tc>
          <w:tcPr>
            <w:tcW w:w="18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44546A"/>
            <w:vAlign w:val="center"/>
            <w:hideMark/>
          </w:tcPr>
          <w:p w14:paraId="4A6A77FA" w14:textId="77777777" w:rsidR="00844F46" w:rsidRPr="00844F46" w:rsidRDefault="00844F46" w:rsidP="00844F46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Variación Interanual</w:t>
            </w:r>
          </w:p>
        </w:tc>
      </w:tr>
      <w:tr w:rsidR="00844F46" w:rsidRPr="00844F46" w14:paraId="6747E5DC" w14:textId="77777777" w:rsidTr="002700BC">
        <w:trPr>
          <w:trHeight w:val="267"/>
          <w:jc w:val="center"/>
        </w:trPr>
        <w:tc>
          <w:tcPr>
            <w:tcW w:w="34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3CB4F0F" w14:textId="77777777" w:rsidR="00844F46" w:rsidRPr="00844F46" w:rsidRDefault="00844F46" w:rsidP="00844F46">
            <w:pPr>
              <w:jc w:val="left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</w:p>
        </w:tc>
        <w:tc>
          <w:tcPr>
            <w:tcW w:w="9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A4D0EE" w14:textId="77777777" w:rsidR="00844F46" w:rsidRPr="00844F46" w:rsidRDefault="00844F46" w:rsidP="00844F46">
            <w:pPr>
              <w:jc w:val="left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</w:p>
        </w:tc>
        <w:tc>
          <w:tcPr>
            <w:tcW w:w="9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F03C89" w14:textId="77777777" w:rsidR="00844F46" w:rsidRPr="00844F46" w:rsidRDefault="00844F46" w:rsidP="00844F46">
            <w:pPr>
              <w:jc w:val="left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054F3A33" w14:textId="77777777" w:rsidR="00844F46" w:rsidRPr="00844F46" w:rsidRDefault="00844F46" w:rsidP="00844F46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Absoluta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4B7875B1" w14:textId="77777777" w:rsidR="00844F46" w:rsidRPr="00844F46" w:rsidRDefault="00844F46" w:rsidP="00844F46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Relativa</w:t>
            </w:r>
          </w:p>
        </w:tc>
      </w:tr>
      <w:tr w:rsidR="00B01C6B" w:rsidRPr="00844F46" w14:paraId="1A948E7F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A0B9A" w14:textId="77777777" w:rsidR="00B01C6B" w:rsidRPr="005E4085" w:rsidRDefault="00B01C6B" w:rsidP="00B01C6B">
            <w:pP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5E40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INGRESO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BF540" w14:textId="57B9F9BC" w:rsidR="00B01C6B" w:rsidRPr="005E4085" w:rsidRDefault="00B01C6B" w:rsidP="00B01C6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47,303.5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C7E15" w14:textId="03A2CBCE" w:rsidR="00B01C6B" w:rsidRPr="005E4085" w:rsidRDefault="00B01C6B" w:rsidP="00B01C6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60,246.1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D9957" w14:textId="7303E7D1" w:rsidR="00B01C6B" w:rsidRPr="005E4085" w:rsidRDefault="00B01C6B" w:rsidP="00B01C6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12,942.6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04A70" w14:textId="13C29177" w:rsidR="00B01C6B" w:rsidRPr="005E4085" w:rsidRDefault="00B01C6B" w:rsidP="00B01C6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27.4</w:t>
            </w:r>
          </w:p>
        </w:tc>
      </w:tr>
      <w:tr w:rsidR="00B01C6B" w:rsidRPr="00844F46" w14:paraId="4FEC7DF9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B4F84" w14:textId="77777777" w:rsidR="00B01C6B" w:rsidRPr="00844F46" w:rsidRDefault="00B01C6B" w:rsidP="00B01C6B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Impuestos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64954" w14:textId="5928856B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42,447.6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7F535" w14:textId="67AEB6B2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54,916.1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6B5FE" w14:textId="08DEA405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12,468.5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08C8C" w14:textId="1F967DEE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29.4</w:t>
            </w:r>
          </w:p>
        </w:tc>
      </w:tr>
      <w:tr w:rsidR="00B01C6B" w:rsidRPr="00844F46" w14:paraId="297E40E0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9A340" w14:textId="77777777" w:rsidR="00B01C6B" w:rsidRPr="00844F46" w:rsidRDefault="00B01C6B" w:rsidP="00B01C6B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 xml:space="preserve">Contribuciones sociales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8B2BB" w14:textId="55D641C7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3,703.8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D79A9" w14:textId="64138F35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3,809.9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13E68" w14:textId="3FEA4B25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106.1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3F8D7" w14:textId="4962EC77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2.9</w:t>
            </w:r>
          </w:p>
        </w:tc>
      </w:tr>
      <w:tr w:rsidR="00B01C6B" w:rsidRPr="00844F46" w14:paraId="000DC059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B9303" w14:textId="77777777" w:rsidR="00B01C6B" w:rsidRPr="00844F46" w:rsidRDefault="00B01C6B" w:rsidP="00B01C6B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Donaciones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3B86C" w14:textId="3F35D647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29.4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6FB74" w14:textId="7AEE76F7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107.3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93A0E" w14:textId="06850FCC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78.0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4E54E" w14:textId="7203FFE5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265.5</w:t>
            </w:r>
          </w:p>
        </w:tc>
      </w:tr>
      <w:tr w:rsidR="00B01C6B" w:rsidRPr="00844F46" w14:paraId="7478AF33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8D619" w14:textId="77777777" w:rsidR="00B01C6B" w:rsidRPr="00844F46" w:rsidRDefault="00B01C6B" w:rsidP="00B01C6B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 xml:space="preserve">Otros ingresos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A46AA" w14:textId="37855D5F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1,122.8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5B71B" w14:textId="69637390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1,412.8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E6E5C" w14:textId="0F9394EA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290.0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C9A50" w14:textId="2ED161EB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25.8</w:t>
            </w:r>
          </w:p>
        </w:tc>
      </w:tr>
      <w:tr w:rsidR="00B01C6B" w:rsidRPr="00844F46" w14:paraId="40B39911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623F3" w14:textId="77777777" w:rsidR="00B01C6B" w:rsidRPr="005E4085" w:rsidRDefault="00B01C6B" w:rsidP="00B01C6B">
            <w:pP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5E40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GASTO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DF4D3" w14:textId="505BCA18" w:rsidR="00B01C6B" w:rsidRPr="005E4085" w:rsidRDefault="00B01C6B" w:rsidP="00B01C6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62,654.4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60A6E" w14:textId="765D3F89" w:rsidR="00B01C6B" w:rsidRPr="005E4085" w:rsidRDefault="00B01C6B" w:rsidP="00B01C6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61,688.5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B1E9E" w14:textId="384062E9" w:rsidR="00B01C6B" w:rsidRPr="005E4085" w:rsidRDefault="00B01C6B" w:rsidP="00B01C6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-965.9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2423B" w14:textId="64084640" w:rsidR="00B01C6B" w:rsidRPr="005E4085" w:rsidRDefault="00B01C6B" w:rsidP="00B01C6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-1.5</w:t>
            </w:r>
          </w:p>
        </w:tc>
      </w:tr>
      <w:tr w:rsidR="00B01C6B" w:rsidRPr="00844F46" w14:paraId="67333C8C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3ED87" w14:textId="77777777" w:rsidR="00B01C6B" w:rsidRPr="00844F46" w:rsidRDefault="00B01C6B" w:rsidP="00B01C6B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 xml:space="preserve">Remuneración a los empleados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C3167" w14:textId="2AB69E29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21,570.4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022B2" w14:textId="010A8F21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22,239.4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FDE2F" w14:textId="5ABAF7BC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669.0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B6A8C" w14:textId="1D84432E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3.1</w:t>
            </w:r>
          </w:p>
        </w:tc>
      </w:tr>
      <w:tr w:rsidR="00B01C6B" w:rsidRPr="00844F46" w14:paraId="59FCF9E5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6AFD6" w14:textId="77777777" w:rsidR="00B01C6B" w:rsidRPr="00844F46" w:rsidRDefault="00B01C6B" w:rsidP="00B01C6B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 xml:space="preserve">Uso de bienes y servicios 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46A94" w14:textId="2E029D35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5,466.7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96E54" w14:textId="3724007F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7,967.3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A800D" w14:textId="109943AF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2,500.6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F765F" w14:textId="6DF65852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45.7</w:t>
            </w:r>
          </w:p>
        </w:tc>
      </w:tr>
      <w:tr w:rsidR="00B01C6B" w:rsidRPr="00844F46" w14:paraId="3AD19077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BA8CC" w14:textId="77777777" w:rsidR="00B01C6B" w:rsidRPr="00844F46" w:rsidRDefault="00B01C6B" w:rsidP="00B01C6B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 xml:space="preserve">Intereses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77573" w14:textId="0DDB6A38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6,657.7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1805D" w14:textId="080FBBBB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7,815.7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6437A" w14:textId="7C8421C4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1,158.0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79B67" w14:textId="34A71D15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17.4</w:t>
            </w:r>
          </w:p>
        </w:tc>
      </w:tr>
      <w:tr w:rsidR="00B01C6B" w:rsidRPr="00844F46" w14:paraId="67DF567F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FFB1A" w14:textId="77777777" w:rsidR="00B01C6B" w:rsidRPr="00844F46" w:rsidRDefault="00B01C6B" w:rsidP="00B01C6B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 xml:space="preserve">Subsidios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0CE10" w14:textId="26FD5C95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2,204.8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E2FCC" w14:textId="7B75684D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298.6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CAC35" w14:textId="49C9F89D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-1,906.3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733EA" w14:textId="74507884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-86.5</w:t>
            </w:r>
          </w:p>
        </w:tc>
      </w:tr>
      <w:tr w:rsidR="00B01C6B" w:rsidRPr="00844F46" w14:paraId="724C7E0F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632B4" w14:textId="77777777" w:rsidR="00B01C6B" w:rsidRPr="00844F46" w:rsidRDefault="00B01C6B" w:rsidP="00B01C6B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 xml:space="preserve">Donaciones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42B29" w14:textId="13753E1E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13,415.6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8A2D4" w14:textId="164F2467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14,907.5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B7E2C" w14:textId="706F923F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1,492.0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4520C" w14:textId="5A867CEE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11.1</w:t>
            </w:r>
          </w:p>
        </w:tc>
      </w:tr>
      <w:tr w:rsidR="00B01C6B" w:rsidRPr="00844F46" w14:paraId="5ADE715F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CEE45" w14:textId="77777777" w:rsidR="00B01C6B" w:rsidRPr="00844F46" w:rsidRDefault="00B01C6B" w:rsidP="00B01C6B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 xml:space="preserve">Prestaciones sociales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DD1C3" w14:textId="125F4C89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9,438.0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51A0F" w14:textId="630CC435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4,466.0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55A5C" w14:textId="7ADDCF50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-4,972.0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85C01" w14:textId="506C1836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-52.7</w:t>
            </w:r>
          </w:p>
        </w:tc>
      </w:tr>
      <w:tr w:rsidR="00B01C6B" w:rsidRPr="00844F46" w14:paraId="1711A3FC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02FA4" w14:textId="77777777" w:rsidR="00B01C6B" w:rsidRPr="00844F46" w:rsidRDefault="00B01C6B" w:rsidP="00B01C6B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 xml:space="preserve">Otros gastos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07028" w14:textId="6B2D3B9C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3,901.1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B969B" w14:textId="6A8A1AA5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3,993.9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D9D9D" w14:textId="0F7FA198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92.8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459B1" w14:textId="42BCF0DB" w:rsidR="00B01C6B" w:rsidRPr="005E4085" w:rsidRDefault="00B01C6B" w:rsidP="00B01C6B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2.4</w:t>
            </w:r>
          </w:p>
        </w:tc>
      </w:tr>
      <w:tr w:rsidR="00B01C6B" w:rsidRPr="00844F46" w14:paraId="01DF1565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CB55E" w14:textId="77777777" w:rsidR="00B01C6B" w:rsidRPr="005E4085" w:rsidRDefault="00B01C6B" w:rsidP="00B01C6B">
            <w:pP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5E40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Resultado Operativo Primario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6A12E" w14:textId="37B7318B" w:rsidR="00B01C6B" w:rsidRPr="005E4085" w:rsidRDefault="00B01C6B" w:rsidP="00B01C6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-8,693.1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226DF" w14:textId="0299CA84" w:rsidR="00B01C6B" w:rsidRPr="005E4085" w:rsidRDefault="00B01C6B" w:rsidP="00B01C6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6,373.4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A0597" w14:textId="0FFCD9F2" w:rsidR="00B01C6B" w:rsidRPr="005E4085" w:rsidRDefault="00B01C6B" w:rsidP="00B01C6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15,066.5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53DC2" w14:textId="60CC6FB0" w:rsidR="00B01C6B" w:rsidRPr="005E4085" w:rsidRDefault="00B01C6B" w:rsidP="00B01C6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-173.3</w:t>
            </w:r>
          </w:p>
        </w:tc>
      </w:tr>
      <w:tr w:rsidR="00B01C6B" w:rsidRPr="00844F46" w14:paraId="2A9BDB90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475F7" w14:textId="77777777" w:rsidR="00B01C6B" w:rsidRPr="005E4085" w:rsidRDefault="00B01C6B" w:rsidP="00B01C6B">
            <w:pP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5E4085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Resultado Operativo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E805D" w14:textId="0E785060" w:rsidR="00B01C6B" w:rsidRPr="005E4085" w:rsidRDefault="00B01C6B" w:rsidP="00B01C6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-15,350.8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F5564" w14:textId="5B5CBE1B" w:rsidR="00B01C6B" w:rsidRPr="005E4085" w:rsidRDefault="00B01C6B" w:rsidP="00B01C6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-1,442.3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B9C7E" w14:textId="67839ACE" w:rsidR="00B01C6B" w:rsidRPr="005E4085" w:rsidRDefault="00B01C6B" w:rsidP="00B01C6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13,908.5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F6C56" w14:textId="4D3EB66E" w:rsidR="00B01C6B" w:rsidRPr="005E4085" w:rsidRDefault="00B01C6B" w:rsidP="00B01C6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-90.6</w:t>
            </w:r>
          </w:p>
        </w:tc>
      </w:tr>
      <w:tr w:rsidR="00844F46" w:rsidRPr="00844F46" w14:paraId="77085E0E" w14:textId="77777777" w:rsidTr="002700BC">
        <w:trPr>
          <w:trHeight w:val="267"/>
          <w:jc w:val="center"/>
        </w:trPr>
        <w:tc>
          <w:tcPr>
            <w:tcW w:w="7213" w:type="dxa"/>
            <w:gridSpan w:val="5"/>
            <w:tcBorders>
              <w:top w:val="single" w:sz="8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331DBB" w14:textId="77777777" w:rsidR="00844F46" w:rsidRPr="00844F46" w:rsidRDefault="00844F46" w:rsidP="00844F46">
            <w:pPr>
              <w:rPr>
                <w:rFonts w:eastAsia="Times New Roman" w:cs="Times New Roman"/>
                <w:b/>
                <w:bCs/>
                <w:color w:val="4472C4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b/>
                <w:bCs/>
                <w:color w:val="4472C4"/>
                <w:sz w:val="18"/>
                <w:szCs w:val="18"/>
                <w:lang w:eastAsia="es-GT"/>
              </w:rPr>
              <w:t>TRANSACCIONES EN ACTIVOS NO FINANCIEROS</w:t>
            </w:r>
          </w:p>
        </w:tc>
      </w:tr>
      <w:tr w:rsidR="00687182" w:rsidRPr="00844F46" w14:paraId="7A3A78CB" w14:textId="77777777" w:rsidTr="002700BC">
        <w:trPr>
          <w:trHeight w:val="267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D3819" w14:textId="77777777" w:rsidR="00687182" w:rsidRPr="00844F46" w:rsidRDefault="00687182" w:rsidP="00687182">
            <w:pPr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Inversión bruta en activos no financieros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DD80B" w14:textId="17D5CE5C" w:rsidR="00687182" w:rsidRPr="00844F46" w:rsidRDefault="00687182" w:rsidP="00687182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1,913.9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60A59" w14:textId="26363BB1" w:rsidR="00687182" w:rsidRPr="00844F46" w:rsidRDefault="00687182" w:rsidP="00687182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2,222.9</w:t>
            </w:r>
          </w:p>
        </w:tc>
        <w:tc>
          <w:tcPr>
            <w:tcW w:w="945" w:type="dxa"/>
            <w:tcBorders>
              <w:top w:val="double" w:sz="6" w:space="0" w:color="auto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79E9E" w14:textId="5C879D61" w:rsidR="00687182" w:rsidRPr="00844F46" w:rsidRDefault="00687182" w:rsidP="00687182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309.0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D0CA2" w14:textId="71B297E9" w:rsidR="00687182" w:rsidRPr="00844F46" w:rsidRDefault="00687182" w:rsidP="00687182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16.1</w:t>
            </w:r>
          </w:p>
        </w:tc>
      </w:tr>
      <w:tr w:rsidR="00687182" w:rsidRPr="00844F46" w14:paraId="01D8AC3E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8EAB3" w14:textId="77777777" w:rsidR="00687182" w:rsidRPr="00844F46" w:rsidRDefault="00687182" w:rsidP="00687182">
            <w:pPr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Erogación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09EAF" w14:textId="5FB46B33" w:rsidR="00687182" w:rsidRPr="00844F46" w:rsidRDefault="00687182" w:rsidP="00687182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64,568.2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46841" w14:textId="29F024ED" w:rsidR="00687182" w:rsidRPr="00844F46" w:rsidRDefault="00687182" w:rsidP="00687182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63,911.4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066CB" w14:textId="388C5117" w:rsidR="00687182" w:rsidRPr="00844F46" w:rsidRDefault="00687182" w:rsidP="00687182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-656.9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46A23" w14:textId="4954786C" w:rsidR="00687182" w:rsidRPr="00844F46" w:rsidRDefault="00687182" w:rsidP="00687182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-1.0</w:t>
            </w:r>
          </w:p>
        </w:tc>
      </w:tr>
      <w:tr w:rsidR="00687182" w:rsidRPr="00844F46" w14:paraId="70F1CFD0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46CCF" w14:textId="77777777" w:rsidR="00687182" w:rsidRPr="00844F46" w:rsidRDefault="00687182" w:rsidP="00687182">
            <w:pP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Resultado Primario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F3A6F" w14:textId="3A04BCC9" w:rsidR="00687182" w:rsidRPr="00844F46" w:rsidRDefault="00687182" w:rsidP="00687182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-10,607.0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1A133" w14:textId="28D8D7B8" w:rsidR="00687182" w:rsidRPr="00844F46" w:rsidRDefault="00687182" w:rsidP="00687182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4,150.5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1D228" w14:textId="090E2AF1" w:rsidR="00687182" w:rsidRPr="00844F46" w:rsidRDefault="00687182" w:rsidP="00687182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14,757.5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81DF3" w14:textId="22F37994" w:rsidR="00687182" w:rsidRPr="00844F46" w:rsidRDefault="00687182" w:rsidP="00687182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-139.1</w:t>
            </w:r>
          </w:p>
        </w:tc>
      </w:tr>
      <w:tr w:rsidR="00687182" w:rsidRPr="00844F46" w14:paraId="7EDB2478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E44EB" w14:textId="77777777" w:rsidR="00687182" w:rsidRPr="00844F46" w:rsidRDefault="00687182" w:rsidP="00687182">
            <w:pP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Préstamo (+) / endeudamiento (-)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6A3A5" w14:textId="1E7E44FD" w:rsidR="00687182" w:rsidRPr="00844F46" w:rsidRDefault="00687182" w:rsidP="00687182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-17,264.7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0B43A" w14:textId="674BFBCE" w:rsidR="00687182" w:rsidRPr="00844F46" w:rsidRDefault="00687182" w:rsidP="00687182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-3,665.3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EF341" w14:textId="716C1134" w:rsidR="00687182" w:rsidRPr="00844F46" w:rsidRDefault="00687182" w:rsidP="00687182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13,599.4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6EAD1" w14:textId="0BF5D02D" w:rsidR="00687182" w:rsidRPr="00844F46" w:rsidRDefault="00687182" w:rsidP="00687182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-78.8</w:t>
            </w:r>
          </w:p>
        </w:tc>
      </w:tr>
      <w:tr w:rsidR="00844F46" w:rsidRPr="00844F46" w14:paraId="7640965D" w14:textId="77777777" w:rsidTr="002700BC">
        <w:trPr>
          <w:trHeight w:val="267"/>
          <w:jc w:val="center"/>
        </w:trPr>
        <w:tc>
          <w:tcPr>
            <w:tcW w:w="7213" w:type="dxa"/>
            <w:gridSpan w:val="5"/>
            <w:tcBorders>
              <w:top w:val="single" w:sz="8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3F44D5" w14:textId="77777777" w:rsidR="00844F46" w:rsidRPr="00844F46" w:rsidRDefault="00844F46" w:rsidP="00844F46">
            <w:pPr>
              <w:rPr>
                <w:rFonts w:eastAsia="Times New Roman" w:cs="Times New Roman"/>
                <w:b/>
                <w:bCs/>
                <w:color w:val="4472C4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b/>
                <w:bCs/>
                <w:color w:val="4472C4"/>
                <w:sz w:val="18"/>
                <w:szCs w:val="18"/>
                <w:lang w:eastAsia="es-GT"/>
              </w:rPr>
              <w:t>TRANSACCIONES EN ACTIVOS Y PASIVOS FINANCIEROS (FINANCIMIENTO)</w:t>
            </w:r>
          </w:p>
        </w:tc>
      </w:tr>
      <w:tr w:rsidR="00687182" w:rsidRPr="00844F46" w14:paraId="41DD322B" w14:textId="77777777" w:rsidTr="002700BC">
        <w:trPr>
          <w:trHeight w:val="267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558B6" w14:textId="77777777" w:rsidR="00687182" w:rsidRPr="00844F46" w:rsidRDefault="00687182" w:rsidP="00687182">
            <w:pP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Adquisición neta de activos financieros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8F962" w14:textId="339E11D4" w:rsidR="00687182" w:rsidRPr="00844F46" w:rsidRDefault="00687182" w:rsidP="00687182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14,877.7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41872" w14:textId="02C17F43" w:rsidR="00687182" w:rsidRPr="00844F46" w:rsidRDefault="00687182" w:rsidP="00687182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7,780.8</w:t>
            </w:r>
          </w:p>
        </w:tc>
        <w:tc>
          <w:tcPr>
            <w:tcW w:w="945" w:type="dxa"/>
            <w:tcBorders>
              <w:top w:val="double" w:sz="6" w:space="0" w:color="auto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A79D9" w14:textId="1566838C" w:rsidR="00687182" w:rsidRPr="00844F46" w:rsidRDefault="00687182" w:rsidP="00687182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-7,097.0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148A8" w14:textId="300FFDE6" w:rsidR="00687182" w:rsidRPr="00844F46" w:rsidRDefault="00687182" w:rsidP="00687182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-47.7</w:t>
            </w:r>
          </w:p>
        </w:tc>
      </w:tr>
      <w:tr w:rsidR="00687182" w:rsidRPr="00844F46" w14:paraId="05EDD2D3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A6CFE" w14:textId="77777777" w:rsidR="00687182" w:rsidRPr="00844F46" w:rsidRDefault="00687182" w:rsidP="00687182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Billetes y monedas y depósitos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43028" w14:textId="4ACC32DA" w:rsidR="00687182" w:rsidRPr="00844F46" w:rsidRDefault="00687182" w:rsidP="00687182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12,728.4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826E1" w14:textId="05424191" w:rsidR="00687182" w:rsidRPr="00844F46" w:rsidRDefault="00687182" w:rsidP="00687182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7,774.8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84FFE" w14:textId="1CE4E91A" w:rsidR="00687182" w:rsidRPr="00844F46" w:rsidRDefault="00687182" w:rsidP="00687182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-4,953.6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19D57" w14:textId="6EB24AF4" w:rsidR="00687182" w:rsidRPr="00844F46" w:rsidRDefault="00687182" w:rsidP="00687182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-38.9</w:t>
            </w:r>
          </w:p>
        </w:tc>
      </w:tr>
      <w:tr w:rsidR="00687182" w:rsidRPr="00844F46" w14:paraId="2E39DE56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D8F52" w14:textId="77777777" w:rsidR="00687182" w:rsidRPr="00844F46" w:rsidRDefault="00687182" w:rsidP="00687182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Préstamos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FE5C6" w14:textId="171E6660" w:rsidR="00687182" w:rsidRPr="00844F46" w:rsidRDefault="00687182" w:rsidP="00687182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2,149.4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EC47C" w14:textId="2CEB30A7" w:rsidR="00687182" w:rsidRPr="00844F46" w:rsidRDefault="00687182" w:rsidP="00687182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6.0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47DB9" w14:textId="4A0B2D23" w:rsidR="00687182" w:rsidRPr="00844F46" w:rsidRDefault="00687182" w:rsidP="00687182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-2,143.4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7F049" w14:textId="16978283" w:rsidR="00687182" w:rsidRPr="00844F46" w:rsidRDefault="00687182" w:rsidP="00687182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-99.7</w:t>
            </w:r>
          </w:p>
        </w:tc>
      </w:tr>
      <w:tr w:rsidR="00687182" w:rsidRPr="00844F46" w14:paraId="4423D20A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35D76" w14:textId="77777777" w:rsidR="00687182" w:rsidRPr="00844F46" w:rsidRDefault="00687182" w:rsidP="00687182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Otros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56F00" w14:textId="57A07941" w:rsidR="00687182" w:rsidRPr="00844F46" w:rsidRDefault="00687182" w:rsidP="00687182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0.0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04C02" w14:textId="59E5F1C0" w:rsidR="00687182" w:rsidRPr="00844F46" w:rsidRDefault="00687182" w:rsidP="00687182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0.0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0D00D" w14:textId="51C5E6D3" w:rsidR="00687182" w:rsidRPr="00844F46" w:rsidRDefault="00687182" w:rsidP="00687182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0.0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A6F12" w14:textId="7D5540CC" w:rsidR="00687182" w:rsidRPr="00844F46" w:rsidRDefault="00687182" w:rsidP="00687182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0.0</w:t>
            </w:r>
          </w:p>
        </w:tc>
      </w:tr>
      <w:tr w:rsidR="00687182" w:rsidRPr="00844F46" w14:paraId="3DCA0D3A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DB4EE" w14:textId="77777777" w:rsidR="00687182" w:rsidRPr="00844F46" w:rsidRDefault="00687182" w:rsidP="00687182">
            <w:pP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Incurrimiento neto de pasivos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2EC7F" w14:textId="06A05D3B" w:rsidR="00687182" w:rsidRPr="00844F46" w:rsidRDefault="00687182" w:rsidP="00687182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30,721.8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79C68" w14:textId="1D67A1F8" w:rsidR="00687182" w:rsidRPr="00844F46" w:rsidRDefault="00687182" w:rsidP="00687182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13,773.9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7F435" w14:textId="1CDAA719" w:rsidR="00687182" w:rsidRPr="00844F46" w:rsidRDefault="00687182" w:rsidP="00687182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-16,947.8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07875" w14:textId="113BCEE3" w:rsidR="00687182" w:rsidRPr="00844F46" w:rsidRDefault="00687182" w:rsidP="00687182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-55.2</w:t>
            </w:r>
          </w:p>
        </w:tc>
      </w:tr>
      <w:tr w:rsidR="00687182" w:rsidRPr="00844F46" w14:paraId="281921C4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A330E" w14:textId="77777777" w:rsidR="00687182" w:rsidRPr="00844F46" w:rsidRDefault="00687182" w:rsidP="00687182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Títulos de deuda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5506B" w14:textId="4EE1DFBE" w:rsidR="00687182" w:rsidRPr="00844F46" w:rsidRDefault="00687182" w:rsidP="00687182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30,343.4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AD26B" w14:textId="2F7158C6" w:rsidR="00687182" w:rsidRPr="00844F46" w:rsidRDefault="00687182" w:rsidP="00687182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16,216.8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71988" w14:textId="5EBE26D5" w:rsidR="00687182" w:rsidRPr="00844F46" w:rsidRDefault="00687182" w:rsidP="00687182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-14,126.6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B34E6" w14:textId="419F9E1B" w:rsidR="00687182" w:rsidRPr="00844F46" w:rsidRDefault="00687182" w:rsidP="00687182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-46.6</w:t>
            </w:r>
          </w:p>
        </w:tc>
      </w:tr>
      <w:tr w:rsidR="00687182" w:rsidRPr="00844F46" w14:paraId="53E7A6A4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1173F" w14:textId="77777777" w:rsidR="00687182" w:rsidRPr="00844F46" w:rsidRDefault="00687182" w:rsidP="00687182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Préstamos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5AAD2" w14:textId="340EBC28" w:rsidR="00687182" w:rsidRPr="00844F46" w:rsidRDefault="00687182" w:rsidP="00687182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296.2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71973" w14:textId="3F9DD67D" w:rsidR="00687182" w:rsidRPr="00844F46" w:rsidRDefault="00687182" w:rsidP="00687182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-1,955.1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81E7B" w14:textId="48C0F99F" w:rsidR="00687182" w:rsidRPr="00844F46" w:rsidRDefault="00687182" w:rsidP="00687182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-2,251.3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61605" w14:textId="47BF5CA4" w:rsidR="00687182" w:rsidRPr="00844F46" w:rsidRDefault="00687182" w:rsidP="00687182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-760.1</w:t>
            </w:r>
          </w:p>
        </w:tc>
      </w:tr>
      <w:tr w:rsidR="00687182" w:rsidRPr="00844F46" w14:paraId="5E73C6BF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0BFD6" w14:textId="77777777" w:rsidR="00687182" w:rsidRPr="00844F46" w:rsidRDefault="00687182" w:rsidP="00687182">
            <w:pPr>
              <w:ind w:firstLineChars="100" w:firstLine="180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  <w:t>Otros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C61EA" w14:textId="49086D45" w:rsidR="00687182" w:rsidRPr="00844F46" w:rsidRDefault="00687182" w:rsidP="00687182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82.2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51A82" w14:textId="49D2186C" w:rsidR="00687182" w:rsidRPr="00844F46" w:rsidRDefault="00687182" w:rsidP="00687182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-487.7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6D887" w14:textId="3F621345" w:rsidR="00687182" w:rsidRPr="00844F46" w:rsidRDefault="00687182" w:rsidP="00687182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-570.0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D6AB7" w14:textId="3D7908CE" w:rsidR="00687182" w:rsidRPr="00844F46" w:rsidRDefault="00687182" w:rsidP="00687182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GT"/>
              </w:rPr>
            </w:pPr>
            <w:r>
              <w:rPr>
                <w:color w:val="000000"/>
                <w:sz w:val="18"/>
                <w:szCs w:val="18"/>
              </w:rPr>
              <w:t>-693.2</w:t>
            </w:r>
          </w:p>
        </w:tc>
      </w:tr>
      <w:tr w:rsidR="00687182" w:rsidRPr="00844F46" w14:paraId="3810DEE7" w14:textId="77777777" w:rsidTr="002700BC">
        <w:trPr>
          <w:trHeight w:val="255"/>
          <w:jc w:val="center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C662E" w14:textId="77777777" w:rsidR="00687182" w:rsidRPr="00844F46" w:rsidRDefault="00687182" w:rsidP="00687182">
            <w:pP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844F46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  <w:t>Discrepancia estadística global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8AF8D" w14:textId="0F8CAFE9" w:rsidR="00687182" w:rsidRPr="00844F46" w:rsidRDefault="00687182" w:rsidP="00687182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1,420.7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3A0F1" w14:textId="2F9CEDE5" w:rsidR="00687182" w:rsidRPr="00844F46" w:rsidRDefault="00687182" w:rsidP="00687182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-2,327.9</w:t>
            </w:r>
          </w:p>
        </w:tc>
        <w:tc>
          <w:tcPr>
            <w:tcW w:w="945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22CF9" w14:textId="07804999" w:rsidR="00687182" w:rsidRPr="00844F46" w:rsidRDefault="00687182" w:rsidP="00687182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-3,748.6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403C1" w14:textId="4FCD12E8" w:rsidR="00687182" w:rsidRPr="00844F46" w:rsidRDefault="00687182" w:rsidP="00687182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GT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-263.9</w:t>
            </w:r>
          </w:p>
        </w:tc>
      </w:tr>
    </w:tbl>
    <w:p w14:paraId="77198D96" w14:textId="50772757" w:rsidR="003C303F" w:rsidRPr="00AC1506" w:rsidRDefault="003C303F" w:rsidP="007105EE">
      <w:pPr>
        <w:ind w:left="1134"/>
        <w:rPr>
          <w:rFonts w:cs="Times New Roman"/>
          <w:sz w:val="16"/>
          <w:szCs w:val="22"/>
          <w:lang w:val="es-MX"/>
        </w:rPr>
      </w:pPr>
      <w:r w:rsidRPr="00AC1506">
        <w:rPr>
          <w:rFonts w:cs="Times New Roman"/>
          <w:sz w:val="16"/>
          <w:szCs w:val="22"/>
          <w:lang w:val="es-MX"/>
        </w:rPr>
        <w:t>*Cifras preliminares</w:t>
      </w:r>
    </w:p>
    <w:p w14:paraId="2A59A8D5" w14:textId="77777777" w:rsidR="003C303F" w:rsidRPr="00BF230D" w:rsidRDefault="003C303F" w:rsidP="007105EE">
      <w:pPr>
        <w:ind w:left="1134"/>
        <w:rPr>
          <w:rFonts w:cs="Times New Roman"/>
          <w:sz w:val="16"/>
          <w:szCs w:val="22"/>
          <w:lang w:val="es-MX"/>
        </w:rPr>
      </w:pPr>
      <w:r w:rsidRPr="00AC1506">
        <w:rPr>
          <w:rFonts w:cs="Times New Roman"/>
          <w:sz w:val="16"/>
          <w:szCs w:val="22"/>
          <w:lang w:val="es-MX"/>
        </w:rPr>
        <w:t>Fuente: MINFIN</w:t>
      </w:r>
    </w:p>
    <w:sectPr w:rsidR="003C303F" w:rsidRPr="00BF230D" w:rsidSect="00D319A6">
      <w:type w:val="continuous"/>
      <w:pgSz w:w="12240" w:h="15840" w:code="1"/>
      <w:pgMar w:top="1418" w:right="1418" w:bottom="1418" w:left="1418" w:header="709" w:footer="709" w:gutter="0"/>
      <w:pgNumType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487E3" w14:textId="77777777" w:rsidR="00DC7D84" w:rsidRDefault="00DC7D84" w:rsidP="000B5E1C">
      <w:r>
        <w:separator/>
      </w:r>
    </w:p>
  </w:endnote>
  <w:endnote w:type="continuationSeparator" w:id="0">
    <w:p w14:paraId="6757D826" w14:textId="77777777" w:rsidR="00DC7D84" w:rsidRDefault="00DC7D84" w:rsidP="000B5E1C">
      <w:r>
        <w:continuationSeparator/>
      </w:r>
    </w:p>
  </w:endnote>
  <w:endnote w:type="continuationNotice" w:id="1">
    <w:p w14:paraId="5C9AAD12" w14:textId="77777777" w:rsidR="00DC7D84" w:rsidRDefault="00DC7D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Times New Roman"/>
        <w:i/>
        <w:color w:val="1F497D" w:themeColor="text2"/>
        <w:lang w:val="es-ES"/>
      </w:rPr>
      <w:id w:val="1089358670"/>
      <w:docPartObj>
        <w:docPartGallery w:val="Page Numbers (Bottom of Page)"/>
        <w:docPartUnique/>
      </w:docPartObj>
    </w:sdtPr>
    <w:sdtEndPr/>
    <w:sdtContent>
      <w:p w14:paraId="37044282" w14:textId="7A82262B" w:rsidR="000A5B5B" w:rsidRPr="00AC45C7" w:rsidRDefault="000A5B5B">
        <w:pPr>
          <w:pStyle w:val="Piedepgina"/>
          <w:jc w:val="right"/>
          <w:rPr>
            <w:rFonts w:cs="Times New Roman"/>
            <w:i/>
            <w:color w:val="1F497D" w:themeColor="text2"/>
          </w:rPr>
        </w:pPr>
        <w:r>
          <w:rPr>
            <w:rFonts w:cs="Times New Roman"/>
            <w:i/>
            <w:noProof/>
            <w:color w:val="1F497D" w:themeColor="text2"/>
            <w:lang w:eastAsia="es-GT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1B4743A9" wp14:editId="17FB757A">
                  <wp:simplePos x="0" y="0"/>
                  <wp:positionH relativeFrom="column">
                    <wp:posOffset>77580</wp:posOffset>
                  </wp:positionH>
                  <wp:positionV relativeFrom="paragraph">
                    <wp:posOffset>-58006</wp:posOffset>
                  </wp:positionV>
                  <wp:extent cx="6027089" cy="47708"/>
                  <wp:effectExtent l="0" t="0" r="12065" b="28575"/>
                  <wp:wrapNone/>
                  <wp:docPr id="43" name="43 Rectángulo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27089" cy="47708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77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99000">
                                <a:schemeClr val="bg1">
                                  <a:lumMod val="95000"/>
                                </a:schemeClr>
                              </a:gs>
                              <a:gs pos="89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>
                            <a:gradFill>
                              <a:gsLst>
                                <a:gs pos="0">
                                  <a:schemeClr val="accent1">
                                    <a:tint val="66000"/>
                                    <a:satMod val="160000"/>
                                  </a:schemeClr>
                                </a:gs>
                                <a:gs pos="77000">
                                  <a:schemeClr val="accent1">
                                    <a:tint val="44500"/>
                                    <a:satMod val="160000"/>
                                  </a:schemeClr>
                                </a:gs>
                                <a:gs pos="99000">
                                  <a:schemeClr val="bg1">
                                    <a:lumMod val="95000"/>
                                  </a:schemeClr>
                                </a:gs>
                                <a:gs pos="89000">
                                  <a:schemeClr val="accent1"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lin ang="5400000" scaled="0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rect w14:anchorId="440846C2" id="43 Rectángulo" o:spid="_x0000_s1026" style="position:absolute;margin-left:6.1pt;margin-top:-4.55pt;width:474.55pt;height:3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" fillcolor="#8aabd3 [2132]" strokeweight="2pt">
                  <v:fill color2="#f2f2f2 [3052]" rotate="t" angle="90" colors="0 #9ab5e4;50463f #c2d1ed;58327f #e1e8f5;64881f #f2f2f2" focus="100%" type="gradient">
                    <o:fill v:ext="view" type="gradientUnscaled"/>
                  </v:fill>
                </v:rect>
              </w:pict>
            </mc:Fallback>
          </mc:AlternateContent>
        </w:r>
        <w:r w:rsidRPr="00AC45C7">
          <w:rPr>
            <w:rFonts w:cs="Times New Roman"/>
            <w:i/>
            <w:color w:val="1F497D" w:themeColor="text2"/>
            <w:lang w:val="es-ES"/>
          </w:rPr>
          <w:t xml:space="preserve">Página | </w:t>
        </w:r>
        <w:r w:rsidRPr="00AC45C7">
          <w:rPr>
            <w:rFonts w:cs="Times New Roman"/>
            <w:i/>
            <w:color w:val="1F497D" w:themeColor="text2"/>
          </w:rPr>
          <w:fldChar w:fldCharType="begin"/>
        </w:r>
        <w:r w:rsidRPr="00AC45C7">
          <w:rPr>
            <w:rFonts w:cs="Times New Roman"/>
            <w:i/>
            <w:color w:val="1F497D" w:themeColor="text2"/>
          </w:rPr>
          <w:instrText>PAGE   \* MERGEFORMAT</w:instrText>
        </w:r>
        <w:r w:rsidRPr="00AC45C7">
          <w:rPr>
            <w:rFonts w:cs="Times New Roman"/>
            <w:i/>
            <w:color w:val="1F497D" w:themeColor="text2"/>
          </w:rPr>
          <w:fldChar w:fldCharType="separate"/>
        </w:r>
        <w:r w:rsidR="00153921" w:rsidRPr="00153921">
          <w:rPr>
            <w:rFonts w:cs="Times New Roman"/>
            <w:i/>
            <w:noProof/>
            <w:color w:val="1F497D" w:themeColor="text2"/>
            <w:lang w:val="es-ES"/>
          </w:rPr>
          <w:t>9</w:t>
        </w:r>
        <w:r w:rsidRPr="00AC45C7">
          <w:rPr>
            <w:rFonts w:cs="Times New Roman"/>
            <w:i/>
            <w:color w:val="1F497D" w:themeColor="text2"/>
          </w:rPr>
          <w:fldChar w:fldCharType="end"/>
        </w:r>
        <w:r w:rsidRPr="00AC45C7">
          <w:rPr>
            <w:rFonts w:cs="Times New Roman"/>
            <w:i/>
            <w:color w:val="1F497D" w:themeColor="text2"/>
            <w:lang w:val="es-ES"/>
          </w:rPr>
          <w:t xml:space="preserve"> </w:t>
        </w:r>
      </w:p>
    </w:sdtContent>
  </w:sdt>
  <w:p w14:paraId="39784CD2" w14:textId="4D9A34DE" w:rsidR="000A5B5B" w:rsidRPr="00D5619D" w:rsidRDefault="000A5B5B" w:rsidP="003813F7">
    <w:pPr>
      <w:pStyle w:val="Piedepgina"/>
      <w:tabs>
        <w:tab w:val="clear" w:pos="8838"/>
        <w:tab w:val="left" w:pos="5173"/>
      </w:tabs>
      <w:rPr>
        <w:rFonts w:cs="Times New Roman"/>
        <w:i/>
        <w:color w:val="1F497D" w:themeColor="text2"/>
      </w:rPr>
    </w:pPr>
    <w:r w:rsidRPr="00D5619D">
      <w:rPr>
        <w:rFonts w:cs="Times New Roman"/>
        <w:i/>
        <w:color w:val="1F497D" w:themeColor="text2"/>
      </w:rPr>
      <w:t>Informe d</w:t>
    </w:r>
    <w:r>
      <w:rPr>
        <w:rFonts w:cs="Times New Roman"/>
        <w:i/>
        <w:color w:val="1F497D" w:themeColor="text2"/>
      </w:rPr>
      <w:t xml:space="preserve">e las Finanzas Públicas - </w:t>
    </w:r>
    <w:r w:rsidR="008A4A61">
      <w:rPr>
        <w:rFonts w:cs="Times New Roman"/>
        <w:i/>
        <w:color w:val="1F497D" w:themeColor="text2"/>
      </w:rPr>
      <w:t>Tercer</w:t>
    </w:r>
    <w:r>
      <w:rPr>
        <w:rFonts w:cs="Times New Roman"/>
        <w:i/>
        <w:color w:val="1F497D" w:themeColor="text2"/>
      </w:rPr>
      <w:t xml:space="preserve"> Trimestre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37582" w14:textId="77777777" w:rsidR="000A5B5B" w:rsidRDefault="000A5B5B">
    <w:pPr>
      <w:pStyle w:val="Piedepgina"/>
    </w:pPr>
    <w:r>
      <w:rPr>
        <w:rFonts w:cs="Times New Roman"/>
        <w:i/>
        <w:noProof/>
        <w:color w:val="1F497D" w:themeColor="text2"/>
        <w:lang w:eastAsia="es-GT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C67F3FC" wp14:editId="2B07D3AE">
              <wp:simplePos x="0" y="0"/>
              <wp:positionH relativeFrom="column">
                <wp:posOffset>77580</wp:posOffset>
              </wp:positionH>
              <wp:positionV relativeFrom="paragraph">
                <wp:posOffset>-206568</wp:posOffset>
              </wp:positionV>
              <wp:extent cx="5931315" cy="47625"/>
              <wp:effectExtent l="0" t="0" r="12700" b="28575"/>
              <wp:wrapNone/>
              <wp:docPr id="45" name="4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31315" cy="4762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77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99000">
                            <a:schemeClr val="bg1">
                              <a:lumMod val="95000"/>
                            </a:schemeClr>
                          </a:gs>
                          <a:gs pos="89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0" scaled="0"/>
                        <a:tileRect/>
                      </a:gradFill>
                      <a:ln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77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99000">
                              <a:schemeClr val="bg1">
                                <a:lumMod val="95000"/>
                              </a:schemeClr>
                            </a:gs>
                            <a:gs pos="89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CC69113" id="45 Rectángulo" o:spid="_x0000_s1026" style="position:absolute;margin-left:6.1pt;margin-top:-16.25pt;width:467.05pt;height:3.7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" fillcolor="#8aabd3 [2132]" strokeweight="2pt">
              <v:fill color2="#f2f2f2 [3052]" rotate="t" angle="90" colors="0 #9ab5e4;50463f #c2d1ed;58327f #e1e8f5;64881f #f2f2f2" focus="100%" type="gradient">
                <o:fill v:ext="view" type="gradientUnscaled"/>
              </v:fill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B7447" w14:textId="77777777" w:rsidR="00DC7D84" w:rsidRDefault="00DC7D84" w:rsidP="000B5E1C">
      <w:r>
        <w:separator/>
      </w:r>
    </w:p>
  </w:footnote>
  <w:footnote w:type="continuationSeparator" w:id="0">
    <w:p w14:paraId="14505EC4" w14:textId="77777777" w:rsidR="00DC7D84" w:rsidRDefault="00DC7D84" w:rsidP="000B5E1C">
      <w:r>
        <w:continuationSeparator/>
      </w:r>
    </w:p>
  </w:footnote>
  <w:footnote w:type="continuationNotice" w:id="1">
    <w:p w14:paraId="26331380" w14:textId="77777777" w:rsidR="00DC7D84" w:rsidRDefault="00DC7D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E444E" w14:textId="6B32DBCA" w:rsidR="000A5B5B" w:rsidRPr="00AC45C7" w:rsidRDefault="000A5B5B" w:rsidP="00AC45C7">
    <w:pPr>
      <w:pStyle w:val="Encabezado"/>
      <w:jc w:val="right"/>
      <w:rPr>
        <w:rFonts w:cs="Times New Roman"/>
        <w:i/>
        <w:color w:val="1F497D" w:themeColor="text2"/>
      </w:rPr>
    </w:pPr>
    <w:r>
      <w:rPr>
        <w:rFonts w:cs="Times New Roman"/>
        <w:i/>
        <w:noProof/>
        <w:color w:val="1F497D" w:themeColor="text2"/>
        <w:lang w:eastAsia="es-GT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6DEA52F" wp14:editId="5677A061">
              <wp:simplePos x="0" y="0"/>
              <wp:positionH relativeFrom="column">
                <wp:posOffset>1147787</wp:posOffset>
              </wp:positionH>
              <wp:positionV relativeFrom="paragraph">
                <wp:posOffset>315840</wp:posOffset>
              </wp:positionV>
              <wp:extent cx="4955442" cy="45719"/>
              <wp:effectExtent l="0" t="0" r="17145" b="12065"/>
              <wp:wrapNone/>
              <wp:docPr id="44" name="44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55442" cy="45719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77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99000">
                            <a:schemeClr val="bg1">
                              <a:lumMod val="95000"/>
                            </a:schemeClr>
                          </a:gs>
                          <a:gs pos="89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0" scaled="0"/>
                        <a:tileRect/>
                      </a:gradFill>
                      <a:ln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77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99000">
                              <a:schemeClr val="bg1">
                                <a:lumMod val="95000"/>
                              </a:schemeClr>
                            </a:gs>
                            <a:gs pos="89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C6C6018" id="44 Rectángulo" o:spid="_x0000_s1026" style="position:absolute;margin-left:90.4pt;margin-top:24.85pt;width:390.2pt;height:3.6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" fillcolor="#8aabd3 [2132]" strokeweight="2pt">
              <v:fill color2="#f2f2f2 [3052]" rotate="t" angle="90" colors="0 #9ab5e4;50463f #c2d1ed;58327f #e1e8f5;64881f #f2f2f2" focus="100%" type="gradient">
                <o:fill v:ext="view" type="gradientUnscaled"/>
              </v:fill>
            </v:rect>
          </w:pict>
        </mc:Fallback>
      </mc:AlternateContent>
    </w:r>
    <w:r w:rsidRPr="002E105E">
      <w:rPr>
        <w:noProof/>
        <w:sz w:val="20"/>
        <w:lang w:eastAsia="es-GT"/>
      </w:rPr>
      <w:drawing>
        <wp:anchor distT="0" distB="0" distL="114300" distR="114300" simplePos="0" relativeHeight="251660290" behindDoc="1" locked="1" layoutInCell="1" allowOverlap="1" wp14:anchorId="2B23BD24" wp14:editId="5AC8EE41">
          <wp:simplePos x="0" y="0"/>
          <wp:positionH relativeFrom="column">
            <wp:posOffset>-635</wp:posOffset>
          </wp:positionH>
          <wp:positionV relativeFrom="page">
            <wp:posOffset>10795</wp:posOffset>
          </wp:positionV>
          <wp:extent cx="1097280" cy="875030"/>
          <wp:effectExtent l="0" t="0" r="7620" b="1270"/>
          <wp:wrapNone/>
          <wp:docPr id="230" name="Picture 15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0" name="Picture 15" descr="Imagen que contiene Diagram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19" t="2313" r="3444" b="87481"/>
                  <a:stretch/>
                </pic:blipFill>
                <pic:spPr bwMode="auto">
                  <a:xfrm>
                    <a:off x="0" y="0"/>
                    <a:ext cx="1097280" cy="8750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45C7">
      <w:rPr>
        <w:rFonts w:cs="Times New Roman"/>
        <w:i/>
        <w:color w:val="1F497D" w:themeColor="text2"/>
      </w:rPr>
      <w:t>Dirección de Análisis y Política Fiscal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8C581" w14:textId="01FEE6E9" w:rsidR="000A5B5B" w:rsidRPr="005329C2" w:rsidRDefault="000A5B5B" w:rsidP="00CB498E">
    <w:pPr>
      <w:pStyle w:val="Encabezado"/>
      <w:jc w:val="center"/>
      <w:rPr>
        <w:rFonts w:cs="Times New Roman"/>
        <w:i/>
        <w:color w:val="1F497D" w:themeColor="text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B160D"/>
    <w:multiLevelType w:val="hybridMultilevel"/>
    <w:tmpl w:val="5652F5FA"/>
    <w:lvl w:ilvl="0" w:tplc="472817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0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C30B8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8E2A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3060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7CF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80C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04CE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A260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11A32CD"/>
    <w:multiLevelType w:val="hybridMultilevel"/>
    <w:tmpl w:val="6818CFE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B3E59"/>
    <w:multiLevelType w:val="hybridMultilevel"/>
    <w:tmpl w:val="F832278A"/>
    <w:lvl w:ilvl="0" w:tplc="4142F53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536B5"/>
    <w:multiLevelType w:val="hybridMultilevel"/>
    <w:tmpl w:val="02E2FB34"/>
    <w:lvl w:ilvl="0" w:tplc="2E828656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811248"/>
    <w:multiLevelType w:val="hybridMultilevel"/>
    <w:tmpl w:val="2E12EF8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A2B56"/>
    <w:multiLevelType w:val="hybridMultilevel"/>
    <w:tmpl w:val="60DAF59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151372"/>
    <w:multiLevelType w:val="multilevel"/>
    <w:tmpl w:val="8960C1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0E5232B"/>
    <w:multiLevelType w:val="hybridMultilevel"/>
    <w:tmpl w:val="E06C4B02"/>
    <w:lvl w:ilvl="0" w:tplc="472817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0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C30B8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8E2A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3060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7CF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80C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04CE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A260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303721B"/>
    <w:multiLevelType w:val="multilevel"/>
    <w:tmpl w:val="432204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7605102"/>
    <w:multiLevelType w:val="hybridMultilevel"/>
    <w:tmpl w:val="FEA4A058"/>
    <w:lvl w:ilvl="0" w:tplc="1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B756652"/>
    <w:multiLevelType w:val="hybridMultilevel"/>
    <w:tmpl w:val="4C3CF3C6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EE5E3C"/>
    <w:multiLevelType w:val="multilevel"/>
    <w:tmpl w:val="10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D3D32D9"/>
    <w:multiLevelType w:val="hybridMultilevel"/>
    <w:tmpl w:val="D6B8F3D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5A09C0"/>
    <w:multiLevelType w:val="hybridMultilevel"/>
    <w:tmpl w:val="92F073A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3A7D94"/>
    <w:multiLevelType w:val="hybridMultilevel"/>
    <w:tmpl w:val="D4A4493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A24AD2"/>
    <w:multiLevelType w:val="multilevel"/>
    <w:tmpl w:val="0C0A0025"/>
    <w:lvl w:ilvl="0">
      <w:start w:val="1"/>
      <w:numFmt w:val="decimal"/>
      <w:pStyle w:val="Ttulo11"/>
      <w:lvlText w:val="%1"/>
      <w:lvlJc w:val="left"/>
      <w:pPr>
        <w:ind w:left="432" w:hanging="432"/>
      </w:pPr>
    </w:lvl>
    <w:lvl w:ilvl="1">
      <w:start w:val="1"/>
      <w:numFmt w:val="decimal"/>
      <w:pStyle w:val="Ttulo21"/>
      <w:lvlText w:val="%1.%2"/>
      <w:lvlJc w:val="left"/>
      <w:pPr>
        <w:ind w:left="576" w:hanging="576"/>
      </w:pPr>
    </w:lvl>
    <w:lvl w:ilvl="2">
      <w:start w:val="1"/>
      <w:numFmt w:val="decimal"/>
      <w:pStyle w:val="Ttulo31"/>
      <w:lvlText w:val="%1.%2.%3"/>
      <w:lvlJc w:val="left"/>
      <w:pPr>
        <w:ind w:left="720" w:hanging="720"/>
      </w:pPr>
    </w:lvl>
    <w:lvl w:ilvl="3">
      <w:start w:val="1"/>
      <w:numFmt w:val="decimal"/>
      <w:pStyle w:val="Ttulo41"/>
      <w:lvlText w:val="%1.%2.%3.%4"/>
      <w:lvlJc w:val="left"/>
      <w:pPr>
        <w:ind w:left="864" w:hanging="864"/>
      </w:pPr>
    </w:lvl>
    <w:lvl w:ilvl="4">
      <w:start w:val="1"/>
      <w:numFmt w:val="decimal"/>
      <w:pStyle w:val="Ttulo51"/>
      <w:lvlText w:val="%1.%2.%3.%4.%5"/>
      <w:lvlJc w:val="left"/>
      <w:pPr>
        <w:ind w:left="1008" w:hanging="1008"/>
      </w:pPr>
    </w:lvl>
    <w:lvl w:ilvl="5">
      <w:start w:val="1"/>
      <w:numFmt w:val="decimal"/>
      <w:pStyle w:val="Ttulo61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1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8E61988"/>
    <w:multiLevelType w:val="hybridMultilevel"/>
    <w:tmpl w:val="7D04A81C"/>
    <w:lvl w:ilvl="0" w:tplc="A1F83D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9344CF8"/>
    <w:multiLevelType w:val="hybridMultilevel"/>
    <w:tmpl w:val="39F4D9A0"/>
    <w:lvl w:ilvl="0" w:tplc="100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88A822C4" w:tentative="1">
      <w:start w:val="1"/>
      <w:numFmt w:val="bullet"/>
      <w:lvlText w:val="•"/>
      <w:lvlJc w:val="left"/>
      <w:pPr>
        <w:tabs>
          <w:tab w:val="num" w:pos="2148"/>
        </w:tabs>
        <w:ind w:left="2148" w:hanging="360"/>
      </w:pPr>
      <w:rPr>
        <w:rFonts w:ascii="Arial" w:hAnsi="Arial" w:hint="default"/>
      </w:rPr>
    </w:lvl>
    <w:lvl w:ilvl="2" w:tplc="0A663566" w:tentative="1">
      <w:start w:val="1"/>
      <w:numFmt w:val="bullet"/>
      <w:lvlText w:val="•"/>
      <w:lvlJc w:val="left"/>
      <w:pPr>
        <w:tabs>
          <w:tab w:val="num" w:pos="2868"/>
        </w:tabs>
        <w:ind w:left="2868" w:hanging="360"/>
      </w:pPr>
      <w:rPr>
        <w:rFonts w:ascii="Arial" w:hAnsi="Arial" w:hint="default"/>
      </w:rPr>
    </w:lvl>
    <w:lvl w:ilvl="3" w:tplc="FC0AC50E" w:tentative="1">
      <w:start w:val="1"/>
      <w:numFmt w:val="bullet"/>
      <w:lvlText w:val="•"/>
      <w:lvlJc w:val="left"/>
      <w:pPr>
        <w:tabs>
          <w:tab w:val="num" w:pos="3588"/>
        </w:tabs>
        <w:ind w:left="3588" w:hanging="360"/>
      </w:pPr>
      <w:rPr>
        <w:rFonts w:ascii="Arial" w:hAnsi="Arial" w:hint="default"/>
      </w:rPr>
    </w:lvl>
    <w:lvl w:ilvl="4" w:tplc="2F2C20D6" w:tentative="1">
      <w:start w:val="1"/>
      <w:numFmt w:val="bullet"/>
      <w:lvlText w:val="•"/>
      <w:lvlJc w:val="left"/>
      <w:pPr>
        <w:tabs>
          <w:tab w:val="num" w:pos="4308"/>
        </w:tabs>
        <w:ind w:left="4308" w:hanging="360"/>
      </w:pPr>
      <w:rPr>
        <w:rFonts w:ascii="Arial" w:hAnsi="Arial" w:hint="default"/>
      </w:rPr>
    </w:lvl>
    <w:lvl w:ilvl="5" w:tplc="3D765614" w:tentative="1">
      <w:start w:val="1"/>
      <w:numFmt w:val="bullet"/>
      <w:lvlText w:val="•"/>
      <w:lvlJc w:val="left"/>
      <w:pPr>
        <w:tabs>
          <w:tab w:val="num" w:pos="5028"/>
        </w:tabs>
        <w:ind w:left="5028" w:hanging="360"/>
      </w:pPr>
      <w:rPr>
        <w:rFonts w:ascii="Arial" w:hAnsi="Arial" w:hint="default"/>
      </w:rPr>
    </w:lvl>
    <w:lvl w:ilvl="6" w:tplc="D7B4C0EE" w:tentative="1">
      <w:start w:val="1"/>
      <w:numFmt w:val="bullet"/>
      <w:lvlText w:val="•"/>
      <w:lvlJc w:val="left"/>
      <w:pPr>
        <w:tabs>
          <w:tab w:val="num" w:pos="5748"/>
        </w:tabs>
        <w:ind w:left="5748" w:hanging="360"/>
      </w:pPr>
      <w:rPr>
        <w:rFonts w:ascii="Arial" w:hAnsi="Arial" w:hint="default"/>
      </w:rPr>
    </w:lvl>
    <w:lvl w:ilvl="7" w:tplc="FFBC65E4" w:tentative="1">
      <w:start w:val="1"/>
      <w:numFmt w:val="bullet"/>
      <w:lvlText w:val="•"/>
      <w:lvlJc w:val="left"/>
      <w:pPr>
        <w:tabs>
          <w:tab w:val="num" w:pos="6468"/>
        </w:tabs>
        <w:ind w:left="6468" w:hanging="360"/>
      </w:pPr>
      <w:rPr>
        <w:rFonts w:ascii="Arial" w:hAnsi="Arial" w:hint="default"/>
      </w:rPr>
    </w:lvl>
    <w:lvl w:ilvl="8" w:tplc="7AD008E2" w:tentative="1">
      <w:start w:val="1"/>
      <w:numFmt w:val="bullet"/>
      <w:lvlText w:val="•"/>
      <w:lvlJc w:val="left"/>
      <w:pPr>
        <w:tabs>
          <w:tab w:val="num" w:pos="7188"/>
        </w:tabs>
        <w:ind w:left="7188" w:hanging="360"/>
      </w:pPr>
      <w:rPr>
        <w:rFonts w:ascii="Arial" w:hAnsi="Arial" w:hint="default"/>
      </w:rPr>
    </w:lvl>
  </w:abstractNum>
  <w:abstractNum w:abstractNumId="18" w15:restartNumberingAfterBreak="0">
    <w:nsid w:val="3F4E4675"/>
    <w:multiLevelType w:val="hybridMultilevel"/>
    <w:tmpl w:val="592A14C8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F878AD"/>
    <w:multiLevelType w:val="multilevel"/>
    <w:tmpl w:val="6BE6BB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23772FF"/>
    <w:multiLevelType w:val="multilevel"/>
    <w:tmpl w:val="8960C1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7455B36"/>
    <w:multiLevelType w:val="hybridMultilevel"/>
    <w:tmpl w:val="2F9A9654"/>
    <w:lvl w:ilvl="0" w:tplc="DB6E853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587C29"/>
    <w:multiLevelType w:val="hybridMultilevel"/>
    <w:tmpl w:val="21D2FB3A"/>
    <w:lvl w:ilvl="0" w:tplc="100A0017">
      <w:start w:val="1"/>
      <w:numFmt w:val="lowerLetter"/>
      <w:lvlText w:val="%1)"/>
      <w:lvlJc w:val="left"/>
      <w:pPr>
        <w:ind w:left="1776" w:hanging="360"/>
      </w:pPr>
    </w:lvl>
    <w:lvl w:ilvl="1" w:tplc="100A0019" w:tentative="1">
      <w:start w:val="1"/>
      <w:numFmt w:val="lowerLetter"/>
      <w:lvlText w:val="%2."/>
      <w:lvlJc w:val="left"/>
      <w:pPr>
        <w:ind w:left="2496" w:hanging="360"/>
      </w:pPr>
    </w:lvl>
    <w:lvl w:ilvl="2" w:tplc="100A001B" w:tentative="1">
      <w:start w:val="1"/>
      <w:numFmt w:val="lowerRoman"/>
      <w:lvlText w:val="%3."/>
      <w:lvlJc w:val="right"/>
      <w:pPr>
        <w:ind w:left="3216" w:hanging="180"/>
      </w:pPr>
    </w:lvl>
    <w:lvl w:ilvl="3" w:tplc="100A000F" w:tentative="1">
      <w:start w:val="1"/>
      <w:numFmt w:val="decimal"/>
      <w:lvlText w:val="%4."/>
      <w:lvlJc w:val="left"/>
      <w:pPr>
        <w:ind w:left="3936" w:hanging="360"/>
      </w:pPr>
    </w:lvl>
    <w:lvl w:ilvl="4" w:tplc="100A0019" w:tentative="1">
      <w:start w:val="1"/>
      <w:numFmt w:val="lowerLetter"/>
      <w:lvlText w:val="%5."/>
      <w:lvlJc w:val="left"/>
      <w:pPr>
        <w:ind w:left="4656" w:hanging="360"/>
      </w:pPr>
    </w:lvl>
    <w:lvl w:ilvl="5" w:tplc="100A001B" w:tentative="1">
      <w:start w:val="1"/>
      <w:numFmt w:val="lowerRoman"/>
      <w:lvlText w:val="%6."/>
      <w:lvlJc w:val="right"/>
      <w:pPr>
        <w:ind w:left="5376" w:hanging="180"/>
      </w:pPr>
    </w:lvl>
    <w:lvl w:ilvl="6" w:tplc="100A000F" w:tentative="1">
      <w:start w:val="1"/>
      <w:numFmt w:val="decimal"/>
      <w:lvlText w:val="%7."/>
      <w:lvlJc w:val="left"/>
      <w:pPr>
        <w:ind w:left="6096" w:hanging="360"/>
      </w:pPr>
    </w:lvl>
    <w:lvl w:ilvl="7" w:tplc="100A0019" w:tentative="1">
      <w:start w:val="1"/>
      <w:numFmt w:val="lowerLetter"/>
      <w:lvlText w:val="%8."/>
      <w:lvlJc w:val="left"/>
      <w:pPr>
        <w:ind w:left="6816" w:hanging="360"/>
      </w:pPr>
    </w:lvl>
    <w:lvl w:ilvl="8" w:tplc="10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" w15:restartNumberingAfterBreak="0">
    <w:nsid w:val="523C077D"/>
    <w:multiLevelType w:val="multilevel"/>
    <w:tmpl w:val="432204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5777B9E"/>
    <w:multiLevelType w:val="hybridMultilevel"/>
    <w:tmpl w:val="3F00470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2A1421"/>
    <w:multiLevelType w:val="multilevel"/>
    <w:tmpl w:val="B63CCF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360" w:hanging="360"/>
      </w:pPr>
      <w:rPr>
        <w:rFonts w:hint="default"/>
        <w:b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8741E90"/>
    <w:multiLevelType w:val="multilevel"/>
    <w:tmpl w:val="58DEA22A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660" w:hanging="66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8B02801"/>
    <w:multiLevelType w:val="hybridMultilevel"/>
    <w:tmpl w:val="CDF23244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DE5F78"/>
    <w:multiLevelType w:val="multilevel"/>
    <w:tmpl w:val="B63CCF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360" w:hanging="360"/>
      </w:pPr>
      <w:rPr>
        <w:rFonts w:hint="default"/>
        <w:b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C403D22"/>
    <w:multiLevelType w:val="multilevel"/>
    <w:tmpl w:val="10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CE5754F"/>
    <w:multiLevelType w:val="hybridMultilevel"/>
    <w:tmpl w:val="66D0A53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1A7293"/>
    <w:multiLevelType w:val="hybridMultilevel"/>
    <w:tmpl w:val="574693B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9B22BF"/>
    <w:multiLevelType w:val="hybridMultilevel"/>
    <w:tmpl w:val="7D0EE6BA"/>
    <w:lvl w:ilvl="0" w:tplc="FD3A4A76">
      <w:start w:val="1"/>
      <w:numFmt w:val="lowerLetter"/>
      <w:lvlText w:val="%1."/>
      <w:lvlJc w:val="left"/>
      <w:pPr>
        <w:ind w:left="720" w:hanging="360"/>
      </w:pPr>
      <w:rPr>
        <w:sz w:val="24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9E267F"/>
    <w:multiLevelType w:val="hybridMultilevel"/>
    <w:tmpl w:val="B18CB370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27D15BE"/>
    <w:multiLevelType w:val="multilevel"/>
    <w:tmpl w:val="E6A250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29C3A2A"/>
    <w:multiLevelType w:val="hybridMultilevel"/>
    <w:tmpl w:val="36860404"/>
    <w:lvl w:ilvl="0" w:tplc="46F0C8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40B6EE">
      <w:start w:val="82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3E46F8">
      <w:start w:val="82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BEBE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928B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6205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56D9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32EC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920C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C3E5119"/>
    <w:multiLevelType w:val="hybridMultilevel"/>
    <w:tmpl w:val="D05E2C2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CB5DA4"/>
    <w:multiLevelType w:val="hybridMultilevel"/>
    <w:tmpl w:val="E174D1C4"/>
    <w:lvl w:ilvl="0" w:tplc="80D279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00A0017">
      <w:start w:val="1"/>
      <w:numFmt w:val="lowerLetter"/>
      <w:lvlText w:val="%2)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36333D"/>
    <w:multiLevelType w:val="hybridMultilevel"/>
    <w:tmpl w:val="C3B0B7DE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3985C45"/>
    <w:multiLevelType w:val="hybridMultilevel"/>
    <w:tmpl w:val="0C14AC04"/>
    <w:lvl w:ilvl="0" w:tplc="100A0017">
      <w:start w:val="1"/>
      <w:numFmt w:val="lowerLetter"/>
      <w:lvlText w:val="%1)"/>
      <w:lvlJc w:val="left"/>
      <w:pPr>
        <w:ind w:left="1068" w:hanging="360"/>
      </w:pPr>
    </w:lvl>
    <w:lvl w:ilvl="1" w:tplc="100A0019" w:tentative="1">
      <w:start w:val="1"/>
      <w:numFmt w:val="lowerLetter"/>
      <w:lvlText w:val="%2."/>
      <w:lvlJc w:val="left"/>
      <w:pPr>
        <w:ind w:left="1788" w:hanging="360"/>
      </w:pPr>
    </w:lvl>
    <w:lvl w:ilvl="2" w:tplc="100A001B" w:tentative="1">
      <w:start w:val="1"/>
      <w:numFmt w:val="lowerRoman"/>
      <w:lvlText w:val="%3."/>
      <w:lvlJc w:val="right"/>
      <w:pPr>
        <w:ind w:left="2508" w:hanging="180"/>
      </w:pPr>
    </w:lvl>
    <w:lvl w:ilvl="3" w:tplc="100A000F" w:tentative="1">
      <w:start w:val="1"/>
      <w:numFmt w:val="decimal"/>
      <w:lvlText w:val="%4."/>
      <w:lvlJc w:val="left"/>
      <w:pPr>
        <w:ind w:left="3228" w:hanging="360"/>
      </w:pPr>
    </w:lvl>
    <w:lvl w:ilvl="4" w:tplc="100A0019" w:tentative="1">
      <w:start w:val="1"/>
      <w:numFmt w:val="lowerLetter"/>
      <w:lvlText w:val="%5."/>
      <w:lvlJc w:val="left"/>
      <w:pPr>
        <w:ind w:left="3948" w:hanging="360"/>
      </w:pPr>
    </w:lvl>
    <w:lvl w:ilvl="5" w:tplc="100A001B" w:tentative="1">
      <w:start w:val="1"/>
      <w:numFmt w:val="lowerRoman"/>
      <w:lvlText w:val="%6."/>
      <w:lvlJc w:val="right"/>
      <w:pPr>
        <w:ind w:left="4668" w:hanging="180"/>
      </w:pPr>
    </w:lvl>
    <w:lvl w:ilvl="6" w:tplc="100A000F" w:tentative="1">
      <w:start w:val="1"/>
      <w:numFmt w:val="decimal"/>
      <w:lvlText w:val="%7."/>
      <w:lvlJc w:val="left"/>
      <w:pPr>
        <w:ind w:left="5388" w:hanging="360"/>
      </w:pPr>
    </w:lvl>
    <w:lvl w:ilvl="7" w:tplc="100A0019" w:tentative="1">
      <w:start w:val="1"/>
      <w:numFmt w:val="lowerLetter"/>
      <w:lvlText w:val="%8."/>
      <w:lvlJc w:val="left"/>
      <w:pPr>
        <w:ind w:left="6108" w:hanging="360"/>
      </w:pPr>
    </w:lvl>
    <w:lvl w:ilvl="8" w:tplc="1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75050691"/>
    <w:multiLevelType w:val="hybridMultilevel"/>
    <w:tmpl w:val="ED325860"/>
    <w:lvl w:ilvl="0" w:tplc="BDAE2E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D86473"/>
    <w:multiLevelType w:val="hybridMultilevel"/>
    <w:tmpl w:val="AFA85F1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490913"/>
    <w:multiLevelType w:val="hybridMultilevel"/>
    <w:tmpl w:val="8D88FC8E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FC208F4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6"/>
  </w:num>
  <w:num w:numId="2">
    <w:abstractNumId w:val="24"/>
  </w:num>
  <w:num w:numId="3">
    <w:abstractNumId w:val="13"/>
  </w:num>
  <w:num w:numId="4">
    <w:abstractNumId w:val="12"/>
  </w:num>
  <w:num w:numId="5">
    <w:abstractNumId w:val="30"/>
  </w:num>
  <w:num w:numId="6">
    <w:abstractNumId w:val="41"/>
  </w:num>
  <w:num w:numId="7">
    <w:abstractNumId w:val="31"/>
  </w:num>
  <w:num w:numId="8">
    <w:abstractNumId w:val="4"/>
  </w:num>
  <w:num w:numId="9">
    <w:abstractNumId w:val="3"/>
  </w:num>
  <w:num w:numId="10">
    <w:abstractNumId w:val="19"/>
  </w:num>
  <w:num w:numId="11">
    <w:abstractNumId w:val="20"/>
  </w:num>
  <w:num w:numId="12">
    <w:abstractNumId w:val="23"/>
  </w:num>
  <w:num w:numId="13">
    <w:abstractNumId w:val="32"/>
  </w:num>
  <w:num w:numId="14">
    <w:abstractNumId w:val="27"/>
  </w:num>
  <w:num w:numId="15">
    <w:abstractNumId w:val="7"/>
  </w:num>
  <w:num w:numId="16">
    <w:abstractNumId w:val="0"/>
  </w:num>
  <w:num w:numId="17">
    <w:abstractNumId w:val="17"/>
  </w:num>
  <w:num w:numId="18">
    <w:abstractNumId w:val="22"/>
  </w:num>
  <w:num w:numId="19">
    <w:abstractNumId w:val="35"/>
  </w:num>
  <w:num w:numId="20">
    <w:abstractNumId w:val="16"/>
  </w:num>
  <w:num w:numId="21">
    <w:abstractNumId w:val="37"/>
  </w:num>
  <w:num w:numId="22">
    <w:abstractNumId w:val="39"/>
  </w:num>
  <w:num w:numId="23">
    <w:abstractNumId w:val="15"/>
  </w:num>
  <w:num w:numId="24">
    <w:abstractNumId w:val="15"/>
  </w:num>
  <w:num w:numId="25">
    <w:abstractNumId w:val="9"/>
  </w:num>
  <w:num w:numId="26">
    <w:abstractNumId w:val="2"/>
  </w:num>
  <w:num w:numId="27">
    <w:abstractNumId w:val="36"/>
  </w:num>
  <w:num w:numId="28">
    <w:abstractNumId w:val="10"/>
  </w:num>
  <w:num w:numId="29">
    <w:abstractNumId w:val="14"/>
  </w:num>
  <w:num w:numId="30">
    <w:abstractNumId w:val="40"/>
  </w:num>
  <w:num w:numId="31">
    <w:abstractNumId w:val="1"/>
  </w:num>
  <w:num w:numId="32">
    <w:abstractNumId w:val="34"/>
  </w:num>
  <w:num w:numId="33">
    <w:abstractNumId w:val="42"/>
  </w:num>
  <w:num w:numId="34">
    <w:abstractNumId w:val="18"/>
  </w:num>
  <w:num w:numId="35">
    <w:abstractNumId w:val="11"/>
  </w:num>
  <w:num w:numId="36">
    <w:abstractNumId w:val="43"/>
  </w:num>
  <w:num w:numId="37">
    <w:abstractNumId w:val="33"/>
  </w:num>
  <w:num w:numId="38">
    <w:abstractNumId w:val="21"/>
  </w:num>
  <w:num w:numId="39">
    <w:abstractNumId w:val="29"/>
  </w:num>
  <w:num w:numId="40">
    <w:abstractNumId w:val="6"/>
  </w:num>
  <w:num w:numId="41">
    <w:abstractNumId w:val="25"/>
  </w:num>
  <w:num w:numId="42">
    <w:abstractNumId w:val="28"/>
  </w:num>
  <w:num w:numId="43">
    <w:abstractNumId w:val="8"/>
  </w:num>
  <w:num w:numId="44">
    <w:abstractNumId w:val="5"/>
  </w:num>
  <w:num w:numId="45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598"/>
    <w:rsid w:val="000002AE"/>
    <w:rsid w:val="000003CC"/>
    <w:rsid w:val="00000530"/>
    <w:rsid w:val="00000926"/>
    <w:rsid w:val="000013F6"/>
    <w:rsid w:val="0000165C"/>
    <w:rsid w:val="000019FB"/>
    <w:rsid w:val="00001B7A"/>
    <w:rsid w:val="00001ED4"/>
    <w:rsid w:val="000032AE"/>
    <w:rsid w:val="000038B1"/>
    <w:rsid w:val="00003BA5"/>
    <w:rsid w:val="000045FB"/>
    <w:rsid w:val="00004F16"/>
    <w:rsid w:val="00005EB8"/>
    <w:rsid w:val="0000665E"/>
    <w:rsid w:val="000073D2"/>
    <w:rsid w:val="00007F68"/>
    <w:rsid w:val="00010D58"/>
    <w:rsid w:val="000115A2"/>
    <w:rsid w:val="000121A8"/>
    <w:rsid w:val="00012ACD"/>
    <w:rsid w:val="00012FB4"/>
    <w:rsid w:val="0001329E"/>
    <w:rsid w:val="000134F1"/>
    <w:rsid w:val="00013BEC"/>
    <w:rsid w:val="00013FC9"/>
    <w:rsid w:val="00014246"/>
    <w:rsid w:val="0001429E"/>
    <w:rsid w:val="00014EAD"/>
    <w:rsid w:val="00015107"/>
    <w:rsid w:val="00015370"/>
    <w:rsid w:val="00016805"/>
    <w:rsid w:val="00016CEF"/>
    <w:rsid w:val="00017427"/>
    <w:rsid w:val="00017D51"/>
    <w:rsid w:val="0002091B"/>
    <w:rsid w:val="00020F69"/>
    <w:rsid w:val="000212B0"/>
    <w:rsid w:val="00021FD5"/>
    <w:rsid w:val="00023745"/>
    <w:rsid w:val="00023981"/>
    <w:rsid w:val="00023ADD"/>
    <w:rsid w:val="00023DC8"/>
    <w:rsid w:val="00024DE4"/>
    <w:rsid w:val="00024FF6"/>
    <w:rsid w:val="00025456"/>
    <w:rsid w:val="0002670B"/>
    <w:rsid w:val="000267E3"/>
    <w:rsid w:val="00027A8F"/>
    <w:rsid w:val="000306FE"/>
    <w:rsid w:val="00031937"/>
    <w:rsid w:val="00031A96"/>
    <w:rsid w:val="00032230"/>
    <w:rsid w:val="000326D8"/>
    <w:rsid w:val="00032B26"/>
    <w:rsid w:val="00033312"/>
    <w:rsid w:val="00033638"/>
    <w:rsid w:val="00033B15"/>
    <w:rsid w:val="00033DB1"/>
    <w:rsid w:val="000347FD"/>
    <w:rsid w:val="00035952"/>
    <w:rsid w:val="00035C14"/>
    <w:rsid w:val="00035E51"/>
    <w:rsid w:val="00036843"/>
    <w:rsid w:val="000369C8"/>
    <w:rsid w:val="00042669"/>
    <w:rsid w:val="00042AA3"/>
    <w:rsid w:val="00043B88"/>
    <w:rsid w:val="00044AF8"/>
    <w:rsid w:val="00045570"/>
    <w:rsid w:val="00045861"/>
    <w:rsid w:val="00045CD6"/>
    <w:rsid w:val="00046004"/>
    <w:rsid w:val="00046060"/>
    <w:rsid w:val="00046F9F"/>
    <w:rsid w:val="000476BB"/>
    <w:rsid w:val="00047AF2"/>
    <w:rsid w:val="000500D6"/>
    <w:rsid w:val="00050721"/>
    <w:rsid w:val="00051734"/>
    <w:rsid w:val="00051879"/>
    <w:rsid w:val="0005215A"/>
    <w:rsid w:val="00053AD6"/>
    <w:rsid w:val="00053F58"/>
    <w:rsid w:val="0005529E"/>
    <w:rsid w:val="00055D08"/>
    <w:rsid w:val="00055DD0"/>
    <w:rsid w:val="00057827"/>
    <w:rsid w:val="00057B7D"/>
    <w:rsid w:val="00057EB8"/>
    <w:rsid w:val="000617F8"/>
    <w:rsid w:val="00061975"/>
    <w:rsid w:val="00061E2E"/>
    <w:rsid w:val="0006231C"/>
    <w:rsid w:val="00062CBA"/>
    <w:rsid w:val="00062E16"/>
    <w:rsid w:val="00062ED8"/>
    <w:rsid w:val="00063364"/>
    <w:rsid w:val="00063A1D"/>
    <w:rsid w:val="00063CB5"/>
    <w:rsid w:val="000642AF"/>
    <w:rsid w:val="0006477B"/>
    <w:rsid w:val="00064BA9"/>
    <w:rsid w:val="00064EA8"/>
    <w:rsid w:val="00065259"/>
    <w:rsid w:val="00065451"/>
    <w:rsid w:val="00065991"/>
    <w:rsid w:val="00066095"/>
    <w:rsid w:val="0006680E"/>
    <w:rsid w:val="00066CD1"/>
    <w:rsid w:val="00067741"/>
    <w:rsid w:val="000678AC"/>
    <w:rsid w:val="00067B4A"/>
    <w:rsid w:val="00070108"/>
    <w:rsid w:val="00070552"/>
    <w:rsid w:val="000705C1"/>
    <w:rsid w:val="000707A3"/>
    <w:rsid w:val="00070899"/>
    <w:rsid w:val="00071109"/>
    <w:rsid w:val="00071810"/>
    <w:rsid w:val="00071B55"/>
    <w:rsid w:val="00071DD6"/>
    <w:rsid w:val="00072136"/>
    <w:rsid w:val="00072BAA"/>
    <w:rsid w:val="0007319D"/>
    <w:rsid w:val="000737A4"/>
    <w:rsid w:val="000741A3"/>
    <w:rsid w:val="00074337"/>
    <w:rsid w:val="00074476"/>
    <w:rsid w:val="000754D5"/>
    <w:rsid w:val="00076415"/>
    <w:rsid w:val="00080F11"/>
    <w:rsid w:val="00080F5E"/>
    <w:rsid w:val="00081A07"/>
    <w:rsid w:val="000823E4"/>
    <w:rsid w:val="00082E65"/>
    <w:rsid w:val="00083239"/>
    <w:rsid w:val="000836FF"/>
    <w:rsid w:val="0008380C"/>
    <w:rsid w:val="00083DEF"/>
    <w:rsid w:val="000846BE"/>
    <w:rsid w:val="00084748"/>
    <w:rsid w:val="000852BF"/>
    <w:rsid w:val="000858E9"/>
    <w:rsid w:val="00085E1C"/>
    <w:rsid w:val="0008619F"/>
    <w:rsid w:val="000865AA"/>
    <w:rsid w:val="00086C6E"/>
    <w:rsid w:val="00087430"/>
    <w:rsid w:val="00087551"/>
    <w:rsid w:val="0008775B"/>
    <w:rsid w:val="00087EC1"/>
    <w:rsid w:val="00087EE1"/>
    <w:rsid w:val="00087EFB"/>
    <w:rsid w:val="00090202"/>
    <w:rsid w:val="00090AF4"/>
    <w:rsid w:val="000918BC"/>
    <w:rsid w:val="00091A7F"/>
    <w:rsid w:val="00092A19"/>
    <w:rsid w:val="00093A1B"/>
    <w:rsid w:val="000944FE"/>
    <w:rsid w:val="00094A23"/>
    <w:rsid w:val="0009511C"/>
    <w:rsid w:val="00095331"/>
    <w:rsid w:val="00096497"/>
    <w:rsid w:val="00096FA6"/>
    <w:rsid w:val="00097862"/>
    <w:rsid w:val="00097889"/>
    <w:rsid w:val="000A2C08"/>
    <w:rsid w:val="000A2D14"/>
    <w:rsid w:val="000A2D19"/>
    <w:rsid w:val="000A424A"/>
    <w:rsid w:val="000A47FE"/>
    <w:rsid w:val="000A5922"/>
    <w:rsid w:val="000A5B5B"/>
    <w:rsid w:val="000A5FC5"/>
    <w:rsid w:val="000A60A1"/>
    <w:rsid w:val="000A74BA"/>
    <w:rsid w:val="000A7E28"/>
    <w:rsid w:val="000B057B"/>
    <w:rsid w:val="000B072C"/>
    <w:rsid w:val="000B0FCB"/>
    <w:rsid w:val="000B12F0"/>
    <w:rsid w:val="000B1376"/>
    <w:rsid w:val="000B1C5F"/>
    <w:rsid w:val="000B2992"/>
    <w:rsid w:val="000B29FE"/>
    <w:rsid w:val="000B2E7A"/>
    <w:rsid w:val="000B346C"/>
    <w:rsid w:val="000B404E"/>
    <w:rsid w:val="000B4083"/>
    <w:rsid w:val="000B4154"/>
    <w:rsid w:val="000B46D9"/>
    <w:rsid w:val="000B4929"/>
    <w:rsid w:val="000B5075"/>
    <w:rsid w:val="000B5E1C"/>
    <w:rsid w:val="000B6143"/>
    <w:rsid w:val="000B6B1B"/>
    <w:rsid w:val="000B76E1"/>
    <w:rsid w:val="000B778D"/>
    <w:rsid w:val="000C0470"/>
    <w:rsid w:val="000C070B"/>
    <w:rsid w:val="000C1B89"/>
    <w:rsid w:val="000C1CC5"/>
    <w:rsid w:val="000C1F8D"/>
    <w:rsid w:val="000C20CC"/>
    <w:rsid w:val="000C25EB"/>
    <w:rsid w:val="000C3476"/>
    <w:rsid w:val="000C3496"/>
    <w:rsid w:val="000C3E95"/>
    <w:rsid w:val="000C487F"/>
    <w:rsid w:val="000C4AD1"/>
    <w:rsid w:val="000C51BD"/>
    <w:rsid w:val="000C54D3"/>
    <w:rsid w:val="000C5BA6"/>
    <w:rsid w:val="000C5BDD"/>
    <w:rsid w:val="000C7076"/>
    <w:rsid w:val="000C795B"/>
    <w:rsid w:val="000C7E9B"/>
    <w:rsid w:val="000D1059"/>
    <w:rsid w:val="000D17AF"/>
    <w:rsid w:val="000D2677"/>
    <w:rsid w:val="000D2952"/>
    <w:rsid w:val="000D29F4"/>
    <w:rsid w:val="000D2CF4"/>
    <w:rsid w:val="000D2D05"/>
    <w:rsid w:val="000D2DE9"/>
    <w:rsid w:val="000D2DF6"/>
    <w:rsid w:val="000D2F4D"/>
    <w:rsid w:val="000D3566"/>
    <w:rsid w:val="000D365F"/>
    <w:rsid w:val="000D4B4D"/>
    <w:rsid w:val="000D4B80"/>
    <w:rsid w:val="000D57BA"/>
    <w:rsid w:val="000D58D6"/>
    <w:rsid w:val="000D734F"/>
    <w:rsid w:val="000D7477"/>
    <w:rsid w:val="000D7EEB"/>
    <w:rsid w:val="000E058F"/>
    <w:rsid w:val="000E0DAA"/>
    <w:rsid w:val="000E0F3C"/>
    <w:rsid w:val="000E1495"/>
    <w:rsid w:val="000E193E"/>
    <w:rsid w:val="000E3036"/>
    <w:rsid w:val="000E3B60"/>
    <w:rsid w:val="000E3BAE"/>
    <w:rsid w:val="000E3E7A"/>
    <w:rsid w:val="000E488C"/>
    <w:rsid w:val="000E51BC"/>
    <w:rsid w:val="000E5997"/>
    <w:rsid w:val="000E5CCD"/>
    <w:rsid w:val="000E5D0D"/>
    <w:rsid w:val="000E60F8"/>
    <w:rsid w:val="000E6989"/>
    <w:rsid w:val="000E7209"/>
    <w:rsid w:val="000E79A8"/>
    <w:rsid w:val="000E7AE8"/>
    <w:rsid w:val="000F058D"/>
    <w:rsid w:val="000F0DA3"/>
    <w:rsid w:val="000F1214"/>
    <w:rsid w:val="000F19C1"/>
    <w:rsid w:val="000F2939"/>
    <w:rsid w:val="000F3450"/>
    <w:rsid w:val="000F3AC7"/>
    <w:rsid w:val="000F41CA"/>
    <w:rsid w:val="000F4F51"/>
    <w:rsid w:val="000F53ED"/>
    <w:rsid w:val="000F62DA"/>
    <w:rsid w:val="00100D98"/>
    <w:rsid w:val="001012BA"/>
    <w:rsid w:val="001016EC"/>
    <w:rsid w:val="00101A90"/>
    <w:rsid w:val="00101FE5"/>
    <w:rsid w:val="00102276"/>
    <w:rsid w:val="001023B3"/>
    <w:rsid w:val="00103354"/>
    <w:rsid w:val="00103E94"/>
    <w:rsid w:val="001043AB"/>
    <w:rsid w:val="001057E4"/>
    <w:rsid w:val="00105EBF"/>
    <w:rsid w:val="001068D2"/>
    <w:rsid w:val="0010690C"/>
    <w:rsid w:val="00106959"/>
    <w:rsid w:val="00106EF4"/>
    <w:rsid w:val="0010734F"/>
    <w:rsid w:val="00107432"/>
    <w:rsid w:val="00107A66"/>
    <w:rsid w:val="00107D8A"/>
    <w:rsid w:val="001100B3"/>
    <w:rsid w:val="00110318"/>
    <w:rsid w:val="001107CB"/>
    <w:rsid w:val="001111A3"/>
    <w:rsid w:val="00111626"/>
    <w:rsid w:val="00111D58"/>
    <w:rsid w:val="00112A52"/>
    <w:rsid w:val="00112EB2"/>
    <w:rsid w:val="00113A1E"/>
    <w:rsid w:val="00113D53"/>
    <w:rsid w:val="00114083"/>
    <w:rsid w:val="0011428C"/>
    <w:rsid w:val="001142BF"/>
    <w:rsid w:val="00114548"/>
    <w:rsid w:val="00114555"/>
    <w:rsid w:val="001147A1"/>
    <w:rsid w:val="00115772"/>
    <w:rsid w:val="00115AE0"/>
    <w:rsid w:val="00116127"/>
    <w:rsid w:val="00116A12"/>
    <w:rsid w:val="00117AC8"/>
    <w:rsid w:val="001209E8"/>
    <w:rsid w:val="00120FEC"/>
    <w:rsid w:val="00121349"/>
    <w:rsid w:val="001214B6"/>
    <w:rsid w:val="00121649"/>
    <w:rsid w:val="00121A26"/>
    <w:rsid w:val="00122F2F"/>
    <w:rsid w:val="00122FDE"/>
    <w:rsid w:val="0012357F"/>
    <w:rsid w:val="00123CB6"/>
    <w:rsid w:val="00125827"/>
    <w:rsid w:val="0012656D"/>
    <w:rsid w:val="00126E0E"/>
    <w:rsid w:val="0012763E"/>
    <w:rsid w:val="001276C3"/>
    <w:rsid w:val="0012783A"/>
    <w:rsid w:val="00127FBD"/>
    <w:rsid w:val="00130BCE"/>
    <w:rsid w:val="001313C1"/>
    <w:rsid w:val="00131669"/>
    <w:rsid w:val="00131D6C"/>
    <w:rsid w:val="00131D79"/>
    <w:rsid w:val="001323BD"/>
    <w:rsid w:val="00132DC4"/>
    <w:rsid w:val="00133083"/>
    <w:rsid w:val="0013422C"/>
    <w:rsid w:val="00134770"/>
    <w:rsid w:val="0013499D"/>
    <w:rsid w:val="00135308"/>
    <w:rsid w:val="001359D4"/>
    <w:rsid w:val="00135FB7"/>
    <w:rsid w:val="0013608E"/>
    <w:rsid w:val="00136243"/>
    <w:rsid w:val="001401B1"/>
    <w:rsid w:val="001408F3"/>
    <w:rsid w:val="00141216"/>
    <w:rsid w:val="0014145A"/>
    <w:rsid w:val="00141467"/>
    <w:rsid w:val="0014161C"/>
    <w:rsid w:val="00141D10"/>
    <w:rsid w:val="00143578"/>
    <w:rsid w:val="001440DB"/>
    <w:rsid w:val="00145AE6"/>
    <w:rsid w:val="0014637C"/>
    <w:rsid w:val="00146B11"/>
    <w:rsid w:val="00146C6D"/>
    <w:rsid w:val="00146E1A"/>
    <w:rsid w:val="001470BF"/>
    <w:rsid w:val="0014747D"/>
    <w:rsid w:val="001479E4"/>
    <w:rsid w:val="00147A6B"/>
    <w:rsid w:val="00147BFA"/>
    <w:rsid w:val="001500AB"/>
    <w:rsid w:val="001504EE"/>
    <w:rsid w:val="00150748"/>
    <w:rsid w:val="00151A60"/>
    <w:rsid w:val="0015275F"/>
    <w:rsid w:val="00152BD7"/>
    <w:rsid w:val="00153096"/>
    <w:rsid w:val="00153921"/>
    <w:rsid w:val="00153B8C"/>
    <w:rsid w:val="00153D01"/>
    <w:rsid w:val="00154AFD"/>
    <w:rsid w:val="0015532C"/>
    <w:rsid w:val="001559F9"/>
    <w:rsid w:val="00157E39"/>
    <w:rsid w:val="001604DC"/>
    <w:rsid w:val="001604E9"/>
    <w:rsid w:val="001605C0"/>
    <w:rsid w:val="00160BA5"/>
    <w:rsid w:val="001610AF"/>
    <w:rsid w:val="0016130F"/>
    <w:rsid w:val="001613DC"/>
    <w:rsid w:val="001614F2"/>
    <w:rsid w:val="001623FA"/>
    <w:rsid w:val="001628C8"/>
    <w:rsid w:val="00162970"/>
    <w:rsid w:val="0016346E"/>
    <w:rsid w:val="00163B12"/>
    <w:rsid w:val="00163DED"/>
    <w:rsid w:val="0016414B"/>
    <w:rsid w:val="00164250"/>
    <w:rsid w:val="00164331"/>
    <w:rsid w:val="001650AC"/>
    <w:rsid w:val="0016510F"/>
    <w:rsid w:val="00166CE0"/>
    <w:rsid w:val="00166FAB"/>
    <w:rsid w:val="001672FB"/>
    <w:rsid w:val="001674F6"/>
    <w:rsid w:val="00167B5B"/>
    <w:rsid w:val="00167C01"/>
    <w:rsid w:val="001701AC"/>
    <w:rsid w:val="001703DF"/>
    <w:rsid w:val="0017086E"/>
    <w:rsid w:val="001708EB"/>
    <w:rsid w:val="001718B6"/>
    <w:rsid w:val="00173633"/>
    <w:rsid w:val="00173790"/>
    <w:rsid w:val="00173979"/>
    <w:rsid w:val="00175199"/>
    <w:rsid w:val="00175DBD"/>
    <w:rsid w:val="001765BE"/>
    <w:rsid w:val="00177A7B"/>
    <w:rsid w:val="00180370"/>
    <w:rsid w:val="00180579"/>
    <w:rsid w:val="0018117D"/>
    <w:rsid w:val="00181AC7"/>
    <w:rsid w:val="00181E8C"/>
    <w:rsid w:val="001822D3"/>
    <w:rsid w:val="00182971"/>
    <w:rsid w:val="00182B79"/>
    <w:rsid w:val="00182E81"/>
    <w:rsid w:val="001832CB"/>
    <w:rsid w:val="001838CB"/>
    <w:rsid w:val="00183D01"/>
    <w:rsid w:val="00183EF6"/>
    <w:rsid w:val="00184554"/>
    <w:rsid w:val="001846A0"/>
    <w:rsid w:val="00184930"/>
    <w:rsid w:val="00186ACF"/>
    <w:rsid w:val="00190258"/>
    <w:rsid w:val="001906F4"/>
    <w:rsid w:val="00190C51"/>
    <w:rsid w:val="00191BA7"/>
    <w:rsid w:val="0019223F"/>
    <w:rsid w:val="00192264"/>
    <w:rsid w:val="001927C6"/>
    <w:rsid w:val="001932CF"/>
    <w:rsid w:val="00193413"/>
    <w:rsid w:val="00193495"/>
    <w:rsid w:val="00193923"/>
    <w:rsid w:val="00193B3F"/>
    <w:rsid w:val="00193F01"/>
    <w:rsid w:val="00196269"/>
    <w:rsid w:val="00196B0B"/>
    <w:rsid w:val="00197385"/>
    <w:rsid w:val="00197631"/>
    <w:rsid w:val="001979A1"/>
    <w:rsid w:val="001A0005"/>
    <w:rsid w:val="001A00C9"/>
    <w:rsid w:val="001A022D"/>
    <w:rsid w:val="001A1804"/>
    <w:rsid w:val="001A1D21"/>
    <w:rsid w:val="001A1E5E"/>
    <w:rsid w:val="001A20FB"/>
    <w:rsid w:val="001A2E9A"/>
    <w:rsid w:val="001A2EF4"/>
    <w:rsid w:val="001A30CA"/>
    <w:rsid w:val="001A3807"/>
    <w:rsid w:val="001A3DAA"/>
    <w:rsid w:val="001A4726"/>
    <w:rsid w:val="001A47B1"/>
    <w:rsid w:val="001A4D7B"/>
    <w:rsid w:val="001A5253"/>
    <w:rsid w:val="001A5694"/>
    <w:rsid w:val="001A683F"/>
    <w:rsid w:val="001A708A"/>
    <w:rsid w:val="001A70BA"/>
    <w:rsid w:val="001A7138"/>
    <w:rsid w:val="001A7605"/>
    <w:rsid w:val="001A7B54"/>
    <w:rsid w:val="001A7B66"/>
    <w:rsid w:val="001B0B04"/>
    <w:rsid w:val="001B0E2C"/>
    <w:rsid w:val="001B1571"/>
    <w:rsid w:val="001B1821"/>
    <w:rsid w:val="001B21B7"/>
    <w:rsid w:val="001B285E"/>
    <w:rsid w:val="001B2958"/>
    <w:rsid w:val="001B29CF"/>
    <w:rsid w:val="001B2B19"/>
    <w:rsid w:val="001B2E72"/>
    <w:rsid w:val="001B3A8F"/>
    <w:rsid w:val="001B3C43"/>
    <w:rsid w:val="001B3FE3"/>
    <w:rsid w:val="001B423D"/>
    <w:rsid w:val="001B4D15"/>
    <w:rsid w:val="001B55B2"/>
    <w:rsid w:val="001B61DF"/>
    <w:rsid w:val="001B6D43"/>
    <w:rsid w:val="001B71EE"/>
    <w:rsid w:val="001B7969"/>
    <w:rsid w:val="001B7BC8"/>
    <w:rsid w:val="001C0194"/>
    <w:rsid w:val="001C0450"/>
    <w:rsid w:val="001C19CB"/>
    <w:rsid w:val="001C1B0B"/>
    <w:rsid w:val="001C1F0C"/>
    <w:rsid w:val="001C29A0"/>
    <w:rsid w:val="001C2E49"/>
    <w:rsid w:val="001C34B5"/>
    <w:rsid w:val="001C3E21"/>
    <w:rsid w:val="001C4E87"/>
    <w:rsid w:val="001C55F6"/>
    <w:rsid w:val="001C5F1C"/>
    <w:rsid w:val="001C6301"/>
    <w:rsid w:val="001C677D"/>
    <w:rsid w:val="001C7576"/>
    <w:rsid w:val="001C788D"/>
    <w:rsid w:val="001D0130"/>
    <w:rsid w:val="001D016C"/>
    <w:rsid w:val="001D1179"/>
    <w:rsid w:val="001D17CB"/>
    <w:rsid w:val="001D1A94"/>
    <w:rsid w:val="001D1C90"/>
    <w:rsid w:val="001D1C9B"/>
    <w:rsid w:val="001D1D27"/>
    <w:rsid w:val="001D2C47"/>
    <w:rsid w:val="001D41AC"/>
    <w:rsid w:val="001D4B18"/>
    <w:rsid w:val="001D54E4"/>
    <w:rsid w:val="001D708B"/>
    <w:rsid w:val="001E06F3"/>
    <w:rsid w:val="001E0870"/>
    <w:rsid w:val="001E0EF9"/>
    <w:rsid w:val="001E130A"/>
    <w:rsid w:val="001E1AAB"/>
    <w:rsid w:val="001E3041"/>
    <w:rsid w:val="001E331B"/>
    <w:rsid w:val="001E4277"/>
    <w:rsid w:val="001E4C34"/>
    <w:rsid w:val="001E4D39"/>
    <w:rsid w:val="001E4E3D"/>
    <w:rsid w:val="001E5588"/>
    <w:rsid w:val="001E5D28"/>
    <w:rsid w:val="001E62DA"/>
    <w:rsid w:val="001E7182"/>
    <w:rsid w:val="001E71BF"/>
    <w:rsid w:val="001E7E64"/>
    <w:rsid w:val="001F07B8"/>
    <w:rsid w:val="001F135F"/>
    <w:rsid w:val="001F1968"/>
    <w:rsid w:val="001F1BB6"/>
    <w:rsid w:val="001F25FC"/>
    <w:rsid w:val="001F2E5B"/>
    <w:rsid w:val="001F3668"/>
    <w:rsid w:val="001F3B9A"/>
    <w:rsid w:val="001F3D1E"/>
    <w:rsid w:val="001F43AE"/>
    <w:rsid w:val="001F488D"/>
    <w:rsid w:val="001F5A10"/>
    <w:rsid w:val="001F67A2"/>
    <w:rsid w:val="001F7025"/>
    <w:rsid w:val="001F71DC"/>
    <w:rsid w:val="001F7309"/>
    <w:rsid w:val="001F742E"/>
    <w:rsid w:val="002005A3"/>
    <w:rsid w:val="002005AD"/>
    <w:rsid w:val="002006B9"/>
    <w:rsid w:val="00201159"/>
    <w:rsid w:val="00201941"/>
    <w:rsid w:val="0020195F"/>
    <w:rsid w:val="002019FF"/>
    <w:rsid w:val="00201C51"/>
    <w:rsid w:val="00201CD8"/>
    <w:rsid w:val="0020227E"/>
    <w:rsid w:val="00203326"/>
    <w:rsid w:val="00203672"/>
    <w:rsid w:val="002043B3"/>
    <w:rsid w:val="002049C5"/>
    <w:rsid w:val="00205055"/>
    <w:rsid w:val="00205BCA"/>
    <w:rsid w:val="0020607F"/>
    <w:rsid w:val="00206BA3"/>
    <w:rsid w:val="00206DBE"/>
    <w:rsid w:val="0020712A"/>
    <w:rsid w:val="002072B5"/>
    <w:rsid w:val="00210CD5"/>
    <w:rsid w:val="00211AE8"/>
    <w:rsid w:val="0021268B"/>
    <w:rsid w:val="002131CF"/>
    <w:rsid w:val="002131FE"/>
    <w:rsid w:val="00213435"/>
    <w:rsid w:val="0021423B"/>
    <w:rsid w:val="002147BD"/>
    <w:rsid w:val="00214947"/>
    <w:rsid w:val="00216846"/>
    <w:rsid w:val="0021699A"/>
    <w:rsid w:val="00216D1A"/>
    <w:rsid w:val="00216FC2"/>
    <w:rsid w:val="002171B6"/>
    <w:rsid w:val="0021724C"/>
    <w:rsid w:val="00217D1E"/>
    <w:rsid w:val="00220281"/>
    <w:rsid w:val="0022065E"/>
    <w:rsid w:val="00222586"/>
    <w:rsid w:val="00222AA5"/>
    <w:rsid w:val="0022319A"/>
    <w:rsid w:val="00225339"/>
    <w:rsid w:val="00225C31"/>
    <w:rsid w:val="002272A3"/>
    <w:rsid w:val="00230328"/>
    <w:rsid w:val="002303FC"/>
    <w:rsid w:val="00230F64"/>
    <w:rsid w:val="0023226A"/>
    <w:rsid w:val="00232937"/>
    <w:rsid w:val="00233216"/>
    <w:rsid w:val="0023357F"/>
    <w:rsid w:val="002338A1"/>
    <w:rsid w:val="002338DE"/>
    <w:rsid w:val="00234118"/>
    <w:rsid w:val="00234332"/>
    <w:rsid w:val="0023437E"/>
    <w:rsid w:val="00235297"/>
    <w:rsid w:val="002352FA"/>
    <w:rsid w:val="0023542F"/>
    <w:rsid w:val="00235A61"/>
    <w:rsid w:val="00235C4F"/>
    <w:rsid w:val="00236A70"/>
    <w:rsid w:val="0023749B"/>
    <w:rsid w:val="002375A0"/>
    <w:rsid w:val="00240382"/>
    <w:rsid w:val="00240BCF"/>
    <w:rsid w:val="00241428"/>
    <w:rsid w:val="00241721"/>
    <w:rsid w:val="00241AC2"/>
    <w:rsid w:val="00241DF5"/>
    <w:rsid w:val="00242D1F"/>
    <w:rsid w:val="00243641"/>
    <w:rsid w:val="00243DA8"/>
    <w:rsid w:val="002440D9"/>
    <w:rsid w:val="00244A1B"/>
    <w:rsid w:val="002451BB"/>
    <w:rsid w:val="002457E2"/>
    <w:rsid w:val="00245D53"/>
    <w:rsid w:val="00246F23"/>
    <w:rsid w:val="002470D4"/>
    <w:rsid w:val="002471A8"/>
    <w:rsid w:val="00250EA9"/>
    <w:rsid w:val="00250FD6"/>
    <w:rsid w:val="0025123E"/>
    <w:rsid w:val="0025138D"/>
    <w:rsid w:val="0025146C"/>
    <w:rsid w:val="00251A72"/>
    <w:rsid w:val="00251F21"/>
    <w:rsid w:val="00252321"/>
    <w:rsid w:val="00252357"/>
    <w:rsid w:val="00252AFC"/>
    <w:rsid w:val="00252B1C"/>
    <w:rsid w:val="00253322"/>
    <w:rsid w:val="00253436"/>
    <w:rsid w:val="00253C9B"/>
    <w:rsid w:val="00253CD8"/>
    <w:rsid w:val="002551BA"/>
    <w:rsid w:val="00255FBE"/>
    <w:rsid w:val="002566E6"/>
    <w:rsid w:val="002569AC"/>
    <w:rsid w:val="002575D9"/>
    <w:rsid w:val="00261B47"/>
    <w:rsid w:val="00261BEE"/>
    <w:rsid w:val="00261DEB"/>
    <w:rsid w:val="002628E1"/>
    <w:rsid w:val="002630A4"/>
    <w:rsid w:val="002634CC"/>
    <w:rsid w:val="00263E10"/>
    <w:rsid w:val="00264074"/>
    <w:rsid w:val="002645AE"/>
    <w:rsid w:val="00264727"/>
    <w:rsid w:val="00264A75"/>
    <w:rsid w:val="00264DDD"/>
    <w:rsid w:val="00264E6D"/>
    <w:rsid w:val="00266132"/>
    <w:rsid w:val="0026632E"/>
    <w:rsid w:val="002663D9"/>
    <w:rsid w:val="00266606"/>
    <w:rsid w:val="00267193"/>
    <w:rsid w:val="00267974"/>
    <w:rsid w:val="002700BC"/>
    <w:rsid w:val="002706F9"/>
    <w:rsid w:val="002710C2"/>
    <w:rsid w:val="00271377"/>
    <w:rsid w:val="00271558"/>
    <w:rsid w:val="00272ED5"/>
    <w:rsid w:val="002736D5"/>
    <w:rsid w:val="0027445C"/>
    <w:rsid w:val="0027513B"/>
    <w:rsid w:val="00275731"/>
    <w:rsid w:val="00275E3C"/>
    <w:rsid w:val="00276BE8"/>
    <w:rsid w:val="00276CEB"/>
    <w:rsid w:val="0027790A"/>
    <w:rsid w:val="002808AA"/>
    <w:rsid w:val="002809B2"/>
    <w:rsid w:val="00280D80"/>
    <w:rsid w:val="002813A3"/>
    <w:rsid w:val="002813C1"/>
    <w:rsid w:val="0028215F"/>
    <w:rsid w:val="00282253"/>
    <w:rsid w:val="002824AC"/>
    <w:rsid w:val="0028289F"/>
    <w:rsid w:val="0028329E"/>
    <w:rsid w:val="0028395D"/>
    <w:rsid w:val="0028426F"/>
    <w:rsid w:val="0028513C"/>
    <w:rsid w:val="002851AE"/>
    <w:rsid w:val="002860D8"/>
    <w:rsid w:val="00286939"/>
    <w:rsid w:val="00286B2D"/>
    <w:rsid w:val="00286D97"/>
    <w:rsid w:val="0028717E"/>
    <w:rsid w:val="00287315"/>
    <w:rsid w:val="0029111B"/>
    <w:rsid w:val="00291993"/>
    <w:rsid w:val="00292383"/>
    <w:rsid w:val="00292CFB"/>
    <w:rsid w:val="00293196"/>
    <w:rsid w:val="002939FA"/>
    <w:rsid w:val="002948C9"/>
    <w:rsid w:val="00294990"/>
    <w:rsid w:val="00294F15"/>
    <w:rsid w:val="00295600"/>
    <w:rsid w:val="002968B3"/>
    <w:rsid w:val="002968F0"/>
    <w:rsid w:val="00296DF9"/>
    <w:rsid w:val="00297B84"/>
    <w:rsid w:val="00297EA1"/>
    <w:rsid w:val="002A01D5"/>
    <w:rsid w:val="002A052B"/>
    <w:rsid w:val="002A06CC"/>
    <w:rsid w:val="002A0AB8"/>
    <w:rsid w:val="002A0E66"/>
    <w:rsid w:val="002A26FE"/>
    <w:rsid w:val="002A5BBD"/>
    <w:rsid w:val="002A60BD"/>
    <w:rsid w:val="002A6112"/>
    <w:rsid w:val="002A6968"/>
    <w:rsid w:val="002B07C9"/>
    <w:rsid w:val="002B0AEE"/>
    <w:rsid w:val="002B209D"/>
    <w:rsid w:val="002B2273"/>
    <w:rsid w:val="002B2594"/>
    <w:rsid w:val="002B2B84"/>
    <w:rsid w:val="002B2D17"/>
    <w:rsid w:val="002B4EDF"/>
    <w:rsid w:val="002B4F4E"/>
    <w:rsid w:val="002B5C31"/>
    <w:rsid w:val="002B5F1D"/>
    <w:rsid w:val="002B6246"/>
    <w:rsid w:val="002B6254"/>
    <w:rsid w:val="002B650E"/>
    <w:rsid w:val="002B69F7"/>
    <w:rsid w:val="002B6CF8"/>
    <w:rsid w:val="002B716A"/>
    <w:rsid w:val="002B762F"/>
    <w:rsid w:val="002B7931"/>
    <w:rsid w:val="002B7AC2"/>
    <w:rsid w:val="002C0E86"/>
    <w:rsid w:val="002C0FC5"/>
    <w:rsid w:val="002C1DC7"/>
    <w:rsid w:val="002C2027"/>
    <w:rsid w:val="002C2A89"/>
    <w:rsid w:val="002C33C1"/>
    <w:rsid w:val="002C3498"/>
    <w:rsid w:val="002C3671"/>
    <w:rsid w:val="002C3755"/>
    <w:rsid w:val="002C53CC"/>
    <w:rsid w:val="002C64A2"/>
    <w:rsid w:val="002C66E8"/>
    <w:rsid w:val="002C7FB8"/>
    <w:rsid w:val="002D03CF"/>
    <w:rsid w:val="002D05A5"/>
    <w:rsid w:val="002D0BE6"/>
    <w:rsid w:val="002D1182"/>
    <w:rsid w:val="002D1469"/>
    <w:rsid w:val="002D1632"/>
    <w:rsid w:val="002D1E9B"/>
    <w:rsid w:val="002D32C9"/>
    <w:rsid w:val="002D4A52"/>
    <w:rsid w:val="002D4A5A"/>
    <w:rsid w:val="002D4AEA"/>
    <w:rsid w:val="002D5151"/>
    <w:rsid w:val="002D5DEA"/>
    <w:rsid w:val="002D72BD"/>
    <w:rsid w:val="002D7A60"/>
    <w:rsid w:val="002D7AF6"/>
    <w:rsid w:val="002E0416"/>
    <w:rsid w:val="002E109C"/>
    <w:rsid w:val="002E19AD"/>
    <w:rsid w:val="002E1E22"/>
    <w:rsid w:val="002E2176"/>
    <w:rsid w:val="002E2221"/>
    <w:rsid w:val="002E2298"/>
    <w:rsid w:val="002E2437"/>
    <w:rsid w:val="002E2464"/>
    <w:rsid w:val="002E30D7"/>
    <w:rsid w:val="002E350E"/>
    <w:rsid w:val="002E3C2D"/>
    <w:rsid w:val="002E3F7A"/>
    <w:rsid w:val="002E4264"/>
    <w:rsid w:val="002E46A5"/>
    <w:rsid w:val="002E5775"/>
    <w:rsid w:val="002E5F7F"/>
    <w:rsid w:val="002E652B"/>
    <w:rsid w:val="002E7051"/>
    <w:rsid w:val="002E7729"/>
    <w:rsid w:val="002E7C22"/>
    <w:rsid w:val="002F0480"/>
    <w:rsid w:val="002F07A8"/>
    <w:rsid w:val="002F1822"/>
    <w:rsid w:val="002F1A09"/>
    <w:rsid w:val="002F2FB3"/>
    <w:rsid w:val="002F347E"/>
    <w:rsid w:val="002F3D03"/>
    <w:rsid w:val="002F4F4A"/>
    <w:rsid w:val="002F5792"/>
    <w:rsid w:val="002F618C"/>
    <w:rsid w:val="002F6611"/>
    <w:rsid w:val="002F6BD4"/>
    <w:rsid w:val="002F6E28"/>
    <w:rsid w:val="002F7F6F"/>
    <w:rsid w:val="003000C2"/>
    <w:rsid w:val="003007BE"/>
    <w:rsid w:val="003009C9"/>
    <w:rsid w:val="00300A50"/>
    <w:rsid w:val="00300F2D"/>
    <w:rsid w:val="00301F9F"/>
    <w:rsid w:val="00302462"/>
    <w:rsid w:val="00302603"/>
    <w:rsid w:val="00302799"/>
    <w:rsid w:val="00302EF9"/>
    <w:rsid w:val="00303787"/>
    <w:rsid w:val="00303B1F"/>
    <w:rsid w:val="00304483"/>
    <w:rsid w:val="003044D2"/>
    <w:rsid w:val="00304996"/>
    <w:rsid w:val="00304B36"/>
    <w:rsid w:val="00304DA3"/>
    <w:rsid w:val="00305FA4"/>
    <w:rsid w:val="0030676A"/>
    <w:rsid w:val="00306802"/>
    <w:rsid w:val="00307581"/>
    <w:rsid w:val="0030772A"/>
    <w:rsid w:val="00307D21"/>
    <w:rsid w:val="00310612"/>
    <w:rsid w:val="0031062A"/>
    <w:rsid w:val="00310F0E"/>
    <w:rsid w:val="00311363"/>
    <w:rsid w:val="0031152E"/>
    <w:rsid w:val="00311D47"/>
    <w:rsid w:val="003126A5"/>
    <w:rsid w:val="00313249"/>
    <w:rsid w:val="00313EDC"/>
    <w:rsid w:val="00314383"/>
    <w:rsid w:val="003143B8"/>
    <w:rsid w:val="003158EF"/>
    <w:rsid w:val="00316717"/>
    <w:rsid w:val="00320DA0"/>
    <w:rsid w:val="0032156A"/>
    <w:rsid w:val="0032216F"/>
    <w:rsid w:val="0032255F"/>
    <w:rsid w:val="003227AE"/>
    <w:rsid w:val="00323314"/>
    <w:rsid w:val="00323933"/>
    <w:rsid w:val="003241D8"/>
    <w:rsid w:val="00324705"/>
    <w:rsid w:val="00324F52"/>
    <w:rsid w:val="00324F54"/>
    <w:rsid w:val="0032588B"/>
    <w:rsid w:val="00325C52"/>
    <w:rsid w:val="00325EC5"/>
    <w:rsid w:val="00326351"/>
    <w:rsid w:val="00327EE2"/>
    <w:rsid w:val="00327FA6"/>
    <w:rsid w:val="00330C82"/>
    <w:rsid w:val="003311EF"/>
    <w:rsid w:val="0033184E"/>
    <w:rsid w:val="00331A35"/>
    <w:rsid w:val="00331C19"/>
    <w:rsid w:val="00331C73"/>
    <w:rsid w:val="00332E4E"/>
    <w:rsid w:val="00333574"/>
    <w:rsid w:val="00333809"/>
    <w:rsid w:val="00333816"/>
    <w:rsid w:val="003338F1"/>
    <w:rsid w:val="00333F4D"/>
    <w:rsid w:val="0033522F"/>
    <w:rsid w:val="003359FE"/>
    <w:rsid w:val="00335AE0"/>
    <w:rsid w:val="00335BDB"/>
    <w:rsid w:val="00336927"/>
    <w:rsid w:val="00336EDF"/>
    <w:rsid w:val="00337496"/>
    <w:rsid w:val="003375C1"/>
    <w:rsid w:val="0034043A"/>
    <w:rsid w:val="00340E13"/>
    <w:rsid w:val="00342CC7"/>
    <w:rsid w:val="0034386E"/>
    <w:rsid w:val="00343934"/>
    <w:rsid w:val="00343A1D"/>
    <w:rsid w:val="00343A8A"/>
    <w:rsid w:val="00343F0F"/>
    <w:rsid w:val="00344278"/>
    <w:rsid w:val="003442AD"/>
    <w:rsid w:val="003455A3"/>
    <w:rsid w:val="003465C8"/>
    <w:rsid w:val="003466CC"/>
    <w:rsid w:val="00346705"/>
    <w:rsid w:val="00347243"/>
    <w:rsid w:val="00347377"/>
    <w:rsid w:val="0034753C"/>
    <w:rsid w:val="0035070F"/>
    <w:rsid w:val="00351EDC"/>
    <w:rsid w:val="00352045"/>
    <w:rsid w:val="00353B7E"/>
    <w:rsid w:val="00353F26"/>
    <w:rsid w:val="003541D8"/>
    <w:rsid w:val="00354481"/>
    <w:rsid w:val="00355113"/>
    <w:rsid w:val="00355234"/>
    <w:rsid w:val="003554AC"/>
    <w:rsid w:val="00355C36"/>
    <w:rsid w:val="00356F7F"/>
    <w:rsid w:val="00357B90"/>
    <w:rsid w:val="00357F5B"/>
    <w:rsid w:val="003602DE"/>
    <w:rsid w:val="003605B6"/>
    <w:rsid w:val="00361010"/>
    <w:rsid w:val="0036217B"/>
    <w:rsid w:val="00362357"/>
    <w:rsid w:val="003624FC"/>
    <w:rsid w:val="0036359B"/>
    <w:rsid w:val="00363B4C"/>
    <w:rsid w:val="00364296"/>
    <w:rsid w:val="00364844"/>
    <w:rsid w:val="00365DDD"/>
    <w:rsid w:val="00365DF5"/>
    <w:rsid w:val="00366C94"/>
    <w:rsid w:val="00366E5D"/>
    <w:rsid w:val="00366F3F"/>
    <w:rsid w:val="00367005"/>
    <w:rsid w:val="003673A2"/>
    <w:rsid w:val="00370528"/>
    <w:rsid w:val="00370859"/>
    <w:rsid w:val="0037183F"/>
    <w:rsid w:val="00371944"/>
    <w:rsid w:val="00371AEC"/>
    <w:rsid w:val="0037237D"/>
    <w:rsid w:val="003743AA"/>
    <w:rsid w:val="00374654"/>
    <w:rsid w:val="00374C59"/>
    <w:rsid w:val="003754BA"/>
    <w:rsid w:val="003759A1"/>
    <w:rsid w:val="00375D21"/>
    <w:rsid w:val="00375EF5"/>
    <w:rsid w:val="003761C4"/>
    <w:rsid w:val="00376852"/>
    <w:rsid w:val="00376EE6"/>
    <w:rsid w:val="00377A1F"/>
    <w:rsid w:val="0038019E"/>
    <w:rsid w:val="00380981"/>
    <w:rsid w:val="003813F7"/>
    <w:rsid w:val="00381684"/>
    <w:rsid w:val="00382989"/>
    <w:rsid w:val="00382B21"/>
    <w:rsid w:val="003831D5"/>
    <w:rsid w:val="00383208"/>
    <w:rsid w:val="003838A1"/>
    <w:rsid w:val="00383E04"/>
    <w:rsid w:val="003851C7"/>
    <w:rsid w:val="00385368"/>
    <w:rsid w:val="0038658E"/>
    <w:rsid w:val="00386DDA"/>
    <w:rsid w:val="00387A2B"/>
    <w:rsid w:val="00390510"/>
    <w:rsid w:val="00390BB4"/>
    <w:rsid w:val="003911A5"/>
    <w:rsid w:val="003920EF"/>
    <w:rsid w:val="00392346"/>
    <w:rsid w:val="003929E6"/>
    <w:rsid w:val="00393F94"/>
    <w:rsid w:val="00394899"/>
    <w:rsid w:val="00395462"/>
    <w:rsid w:val="00395C0B"/>
    <w:rsid w:val="0039614C"/>
    <w:rsid w:val="00396168"/>
    <w:rsid w:val="00396614"/>
    <w:rsid w:val="00397206"/>
    <w:rsid w:val="00397CEC"/>
    <w:rsid w:val="00397F09"/>
    <w:rsid w:val="003A02BE"/>
    <w:rsid w:val="003A08F6"/>
    <w:rsid w:val="003A140D"/>
    <w:rsid w:val="003A17BD"/>
    <w:rsid w:val="003A19AB"/>
    <w:rsid w:val="003A1DF7"/>
    <w:rsid w:val="003A2B85"/>
    <w:rsid w:val="003A3942"/>
    <w:rsid w:val="003A3AEC"/>
    <w:rsid w:val="003A467D"/>
    <w:rsid w:val="003A4763"/>
    <w:rsid w:val="003A5918"/>
    <w:rsid w:val="003A63A8"/>
    <w:rsid w:val="003A6C1D"/>
    <w:rsid w:val="003A78F3"/>
    <w:rsid w:val="003B0400"/>
    <w:rsid w:val="003B2441"/>
    <w:rsid w:val="003B25FA"/>
    <w:rsid w:val="003B2B5C"/>
    <w:rsid w:val="003B3287"/>
    <w:rsid w:val="003B3973"/>
    <w:rsid w:val="003B3BE5"/>
    <w:rsid w:val="003B4217"/>
    <w:rsid w:val="003B4D0B"/>
    <w:rsid w:val="003B53AC"/>
    <w:rsid w:val="003B560F"/>
    <w:rsid w:val="003B6399"/>
    <w:rsid w:val="003B740C"/>
    <w:rsid w:val="003B79DC"/>
    <w:rsid w:val="003C0D6A"/>
    <w:rsid w:val="003C0D7B"/>
    <w:rsid w:val="003C0FB9"/>
    <w:rsid w:val="003C168C"/>
    <w:rsid w:val="003C209A"/>
    <w:rsid w:val="003C20E0"/>
    <w:rsid w:val="003C2DD3"/>
    <w:rsid w:val="003C303F"/>
    <w:rsid w:val="003C338B"/>
    <w:rsid w:val="003C37F1"/>
    <w:rsid w:val="003C3951"/>
    <w:rsid w:val="003C3E6F"/>
    <w:rsid w:val="003C4117"/>
    <w:rsid w:val="003C4D70"/>
    <w:rsid w:val="003C51D3"/>
    <w:rsid w:val="003C5975"/>
    <w:rsid w:val="003C5B61"/>
    <w:rsid w:val="003C64FF"/>
    <w:rsid w:val="003C773C"/>
    <w:rsid w:val="003D050C"/>
    <w:rsid w:val="003D0804"/>
    <w:rsid w:val="003D1490"/>
    <w:rsid w:val="003D155B"/>
    <w:rsid w:val="003D1F3C"/>
    <w:rsid w:val="003D234D"/>
    <w:rsid w:val="003D28F5"/>
    <w:rsid w:val="003D2ABD"/>
    <w:rsid w:val="003D2D1B"/>
    <w:rsid w:val="003D325F"/>
    <w:rsid w:val="003D403A"/>
    <w:rsid w:val="003D4587"/>
    <w:rsid w:val="003D48A2"/>
    <w:rsid w:val="003D5F76"/>
    <w:rsid w:val="003D65BF"/>
    <w:rsid w:val="003D6732"/>
    <w:rsid w:val="003D6D91"/>
    <w:rsid w:val="003D7250"/>
    <w:rsid w:val="003D76EE"/>
    <w:rsid w:val="003D7B4C"/>
    <w:rsid w:val="003E0E2C"/>
    <w:rsid w:val="003E164A"/>
    <w:rsid w:val="003E1A9F"/>
    <w:rsid w:val="003E1EE8"/>
    <w:rsid w:val="003E2AD9"/>
    <w:rsid w:val="003E2DB7"/>
    <w:rsid w:val="003E32DE"/>
    <w:rsid w:val="003E3472"/>
    <w:rsid w:val="003E3E25"/>
    <w:rsid w:val="003E476E"/>
    <w:rsid w:val="003E49B2"/>
    <w:rsid w:val="003E4C9D"/>
    <w:rsid w:val="003E5859"/>
    <w:rsid w:val="003E676B"/>
    <w:rsid w:val="003E68AD"/>
    <w:rsid w:val="003E69D1"/>
    <w:rsid w:val="003E788D"/>
    <w:rsid w:val="003E7939"/>
    <w:rsid w:val="003F0A79"/>
    <w:rsid w:val="003F1084"/>
    <w:rsid w:val="003F1653"/>
    <w:rsid w:val="003F2171"/>
    <w:rsid w:val="003F27C8"/>
    <w:rsid w:val="003F28D0"/>
    <w:rsid w:val="003F33E4"/>
    <w:rsid w:val="003F400E"/>
    <w:rsid w:val="003F40EE"/>
    <w:rsid w:val="003F46D5"/>
    <w:rsid w:val="003F5196"/>
    <w:rsid w:val="003F57B2"/>
    <w:rsid w:val="003F5841"/>
    <w:rsid w:val="003F5B5D"/>
    <w:rsid w:val="003F5C24"/>
    <w:rsid w:val="003F6C74"/>
    <w:rsid w:val="004007E5"/>
    <w:rsid w:val="0040274D"/>
    <w:rsid w:val="0040363B"/>
    <w:rsid w:val="0040414E"/>
    <w:rsid w:val="004045E7"/>
    <w:rsid w:val="00404BAB"/>
    <w:rsid w:val="00404F5A"/>
    <w:rsid w:val="004052A0"/>
    <w:rsid w:val="004056FD"/>
    <w:rsid w:val="00406A74"/>
    <w:rsid w:val="00407755"/>
    <w:rsid w:val="004077AD"/>
    <w:rsid w:val="0041001E"/>
    <w:rsid w:val="00410667"/>
    <w:rsid w:val="004108BE"/>
    <w:rsid w:val="00410A50"/>
    <w:rsid w:val="00410F6A"/>
    <w:rsid w:val="0041288C"/>
    <w:rsid w:val="00414C97"/>
    <w:rsid w:val="004154AF"/>
    <w:rsid w:val="004157B9"/>
    <w:rsid w:val="00415CAA"/>
    <w:rsid w:val="00416235"/>
    <w:rsid w:val="0041677B"/>
    <w:rsid w:val="00416C7D"/>
    <w:rsid w:val="00417111"/>
    <w:rsid w:val="00417DA6"/>
    <w:rsid w:val="004211BD"/>
    <w:rsid w:val="00421AD9"/>
    <w:rsid w:val="00422853"/>
    <w:rsid w:val="00422DD8"/>
    <w:rsid w:val="004234D4"/>
    <w:rsid w:val="00424BD7"/>
    <w:rsid w:val="00424DF0"/>
    <w:rsid w:val="0042558D"/>
    <w:rsid w:val="00425C8B"/>
    <w:rsid w:val="00425F4B"/>
    <w:rsid w:val="00427475"/>
    <w:rsid w:val="004279D0"/>
    <w:rsid w:val="00430964"/>
    <w:rsid w:val="00430BA3"/>
    <w:rsid w:val="0043129A"/>
    <w:rsid w:val="00431A01"/>
    <w:rsid w:val="00431B05"/>
    <w:rsid w:val="0043246F"/>
    <w:rsid w:val="00432E87"/>
    <w:rsid w:val="00433001"/>
    <w:rsid w:val="00433182"/>
    <w:rsid w:val="00433722"/>
    <w:rsid w:val="00434E60"/>
    <w:rsid w:val="00435292"/>
    <w:rsid w:val="0043576E"/>
    <w:rsid w:val="00435F33"/>
    <w:rsid w:val="00436102"/>
    <w:rsid w:val="00436454"/>
    <w:rsid w:val="0043680B"/>
    <w:rsid w:val="00436F10"/>
    <w:rsid w:val="004373C4"/>
    <w:rsid w:val="00437623"/>
    <w:rsid w:val="00437CFD"/>
    <w:rsid w:val="00437FE6"/>
    <w:rsid w:val="0044019B"/>
    <w:rsid w:val="00440298"/>
    <w:rsid w:val="00441B77"/>
    <w:rsid w:val="00442A6C"/>
    <w:rsid w:val="00443BD2"/>
    <w:rsid w:val="00443E20"/>
    <w:rsid w:val="00444039"/>
    <w:rsid w:val="00444411"/>
    <w:rsid w:val="00444437"/>
    <w:rsid w:val="004447FF"/>
    <w:rsid w:val="00444BDC"/>
    <w:rsid w:val="00445193"/>
    <w:rsid w:val="004451B4"/>
    <w:rsid w:val="004458B3"/>
    <w:rsid w:val="00447330"/>
    <w:rsid w:val="00450CCE"/>
    <w:rsid w:val="00450EC8"/>
    <w:rsid w:val="00451AF6"/>
    <w:rsid w:val="0045361E"/>
    <w:rsid w:val="0045367B"/>
    <w:rsid w:val="00453A06"/>
    <w:rsid w:val="004544F8"/>
    <w:rsid w:val="0045490A"/>
    <w:rsid w:val="00454B88"/>
    <w:rsid w:val="00454D56"/>
    <w:rsid w:val="00454D9F"/>
    <w:rsid w:val="004550B7"/>
    <w:rsid w:val="00455AE9"/>
    <w:rsid w:val="00455B24"/>
    <w:rsid w:val="00455FE9"/>
    <w:rsid w:val="00456466"/>
    <w:rsid w:val="00456A81"/>
    <w:rsid w:val="00456E42"/>
    <w:rsid w:val="00457245"/>
    <w:rsid w:val="004577CB"/>
    <w:rsid w:val="00457E5B"/>
    <w:rsid w:val="00460C05"/>
    <w:rsid w:val="00462865"/>
    <w:rsid w:val="0046297C"/>
    <w:rsid w:val="00463382"/>
    <w:rsid w:val="00463E5D"/>
    <w:rsid w:val="00464708"/>
    <w:rsid w:val="00464AC9"/>
    <w:rsid w:val="00465656"/>
    <w:rsid w:val="00465802"/>
    <w:rsid w:val="00465C72"/>
    <w:rsid w:val="00465EC0"/>
    <w:rsid w:val="004666A5"/>
    <w:rsid w:val="00466F68"/>
    <w:rsid w:val="004671E6"/>
    <w:rsid w:val="00467B0A"/>
    <w:rsid w:val="004700A8"/>
    <w:rsid w:val="0047070E"/>
    <w:rsid w:val="00470A42"/>
    <w:rsid w:val="0047103C"/>
    <w:rsid w:val="00472A7D"/>
    <w:rsid w:val="00473867"/>
    <w:rsid w:val="004738CA"/>
    <w:rsid w:val="00473A39"/>
    <w:rsid w:val="0047416D"/>
    <w:rsid w:val="004741F9"/>
    <w:rsid w:val="0047471E"/>
    <w:rsid w:val="00474CD6"/>
    <w:rsid w:val="00474EF6"/>
    <w:rsid w:val="004752CA"/>
    <w:rsid w:val="00475421"/>
    <w:rsid w:val="00475BC0"/>
    <w:rsid w:val="00476B36"/>
    <w:rsid w:val="004777C0"/>
    <w:rsid w:val="00477C22"/>
    <w:rsid w:val="00480624"/>
    <w:rsid w:val="00480A7B"/>
    <w:rsid w:val="00481A30"/>
    <w:rsid w:val="00482A2A"/>
    <w:rsid w:val="00482E8E"/>
    <w:rsid w:val="00482F3B"/>
    <w:rsid w:val="0048315E"/>
    <w:rsid w:val="00483449"/>
    <w:rsid w:val="004834DF"/>
    <w:rsid w:val="0048450A"/>
    <w:rsid w:val="00484F19"/>
    <w:rsid w:val="00486D2A"/>
    <w:rsid w:val="00490038"/>
    <w:rsid w:val="004909CD"/>
    <w:rsid w:val="0049144D"/>
    <w:rsid w:val="00491A8F"/>
    <w:rsid w:val="00491CEB"/>
    <w:rsid w:val="004923A5"/>
    <w:rsid w:val="004923FA"/>
    <w:rsid w:val="00492C6B"/>
    <w:rsid w:val="00492E53"/>
    <w:rsid w:val="00493678"/>
    <w:rsid w:val="00493988"/>
    <w:rsid w:val="0049443E"/>
    <w:rsid w:val="00494972"/>
    <w:rsid w:val="004954EE"/>
    <w:rsid w:val="004954FB"/>
    <w:rsid w:val="004958AE"/>
    <w:rsid w:val="0049715B"/>
    <w:rsid w:val="00497593"/>
    <w:rsid w:val="00497EBD"/>
    <w:rsid w:val="004A0A73"/>
    <w:rsid w:val="004A1831"/>
    <w:rsid w:val="004A186E"/>
    <w:rsid w:val="004A1D48"/>
    <w:rsid w:val="004A1F32"/>
    <w:rsid w:val="004A23D7"/>
    <w:rsid w:val="004A3399"/>
    <w:rsid w:val="004A34FB"/>
    <w:rsid w:val="004A3B53"/>
    <w:rsid w:val="004A4153"/>
    <w:rsid w:val="004A41FC"/>
    <w:rsid w:val="004A4B00"/>
    <w:rsid w:val="004A4C5A"/>
    <w:rsid w:val="004A5C99"/>
    <w:rsid w:val="004A63A0"/>
    <w:rsid w:val="004A66D9"/>
    <w:rsid w:val="004A79E5"/>
    <w:rsid w:val="004B07A9"/>
    <w:rsid w:val="004B1304"/>
    <w:rsid w:val="004B17C8"/>
    <w:rsid w:val="004B1A95"/>
    <w:rsid w:val="004B1C53"/>
    <w:rsid w:val="004B2ACC"/>
    <w:rsid w:val="004B3B07"/>
    <w:rsid w:val="004B3F8C"/>
    <w:rsid w:val="004B4D6F"/>
    <w:rsid w:val="004B5293"/>
    <w:rsid w:val="004B539E"/>
    <w:rsid w:val="004B5D04"/>
    <w:rsid w:val="004B6184"/>
    <w:rsid w:val="004B69BB"/>
    <w:rsid w:val="004B6DA0"/>
    <w:rsid w:val="004B6FF7"/>
    <w:rsid w:val="004B776F"/>
    <w:rsid w:val="004B7CDB"/>
    <w:rsid w:val="004C035D"/>
    <w:rsid w:val="004C0D00"/>
    <w:rsid w:val="004C0D1F"/>
    <w:rsid w:val="004C129D"/>
    <w:rsid w:val="004C12C1"/>
    <w:rsid w:val="004C2203"/>
    <w:rsid w:val="004C2993"/>
    <w:rsid w:val="004C331A"/>
    <w:rsid w:val="004C3ABF"/>
    <w:rsid w:val="004C4809"/>
    <w:rsid w:val="004C4B45"/>
    <w:rsid w:val="004C4E0B"/>
    <w:rsid w:val="004C550A"/>
    <w:rsid w:val="004C6F92"/>
    <w:rsid w:val="004C7688"/>
    <w:rsid w:val="004D037F"/>
    <w:rsid w:val="004D0CA0"/>
    <w:rsid w:val="004D0EA5"/>
    <w:rsid w:val="004D24B0"/>
    <w:rsid w:val="004D281A"/>
    <w:rsid w:val="004D369F"/>
    <w:rsid w:val="004D3946"/>
    <w:rsid w:val="004D3EA8"/>
    <w:rsid w:val="004D412A"/>
    <w:rsid w:val="004D535D"/>
    <w:rsid w:val="004D54C8"/>
    <w:rsid w:val="004D55E5"/>
    <w:rsid w:val="004D57B2"/>
    <w:rsid w:val="004D733C"/>
    <w:rsid w:val="004D75E1"/>
    <w:rsid w:val="004D7FB7"/>
    <w:rsid w:val="004E0B10"/>
    <w:rsid w:val="004E19CA"/>
    <w:rsid w:val="004E1ACE"/>
    <w:rsid w:val="004E1B43"/>
    <w:rsid w:val="004E2488"/>
    <w:rsid w:val="004E26E5"/>
    <w:rsid w:val="004E33E6"/>
    <w:rsid w:val="004E3572"/>
    <w:rsid w:val="004E3AAF"/>
    <w:rsid w:val="004E42E5"/>
    <w:rsid w:val="004E4830"/>
    <w:rsid w:val="004E49B9"/>
    <w:rsid w:val="004E56C2"/>
    <w:rsid w:val="004E5827"/>
    <w:rsid w:val="004E5AE1"/>
    <w:rsid w:val="004E5CEF"/>
    <w:rsid w:val="004E6284"/>
    <w:rsid w:val="004E669E"/>
    <w:rsid w:val="004E66CE"/>
    <w:rsid w:val="004E6ACB"/>
    <w:rsid w:val="004E7411"/>
    <w:rsid w:val="004E7D6E"/>
    <w:rsid w:val="004E7ED3"/>
    <w:rsid w:val="004F0AD8"/>
    <w:rsid w:val="004F0C51"/>
    <w:rsid w:val="004F0D26"/>
    <w:rsid w:val="004F1203"/>
    <w:rsid w:val="004F2609"/>
    <w:rsid w:val="004F26F6"/>
    <w:rsid w:val="004F2A06"/>
    <w:rsid w:val="004F2A43"/>
    <w:rsid w:val="004F3CB5"/>
    <w:rsid w:val="004F4622"/>
    <w:rsid w:val="004F4F58"/>
    <w:rsid w:val="004F5C53"/>
    <w:rsid w:val="004F6CEF"/>
    <w:rsid w:val="004F701C"/>
    <w:rsid w:val="004F7071"/>
    <w:rsid w:val="004F757F"/>
    <w:rsid w:val="004F75B7"/>
    <w:rsid w:val="004F7BE1"/>
    <w:rsid w:val="004F7FAD"/>
    <w:rsid w:val="005000F5"/>
    <w:rsid w:val="0050050B"/>
    <w:rsid w:val="00500A5D"/>
    <w:rsid w:val="00501A4F"/>
    <w:rsid w:val="0050227F"/>
    <w:rsid w:val="0050240B"/>
    <w:rsid w:val="00502AB3"/>
    <w:rsid w:val="00502E91"/>
    <w:rsid w:val="0050318F"/>
    <w:rsid w:val="005035EB"/>
    <w:rsid w:val="00503ACD"/>
    <w:rsid w:val="00503E67"/>
    <w:rsid w:val="00504015"/>
    <w:rsid w:val="00504C85"/>
    <w:rsid w:val="00504F72"/>
    <w:rsid w:val="005053A8"/>
    <w:rsid w:val="0050561B"/>
    <w:rsid w:val="00505912"/>
    <w:rsid w:val="00506324"/>
    <w:rsid w:val="0050632F"/>
    <w:rsid w:val="00507168"/>
    <w:rsid w:val="00510CAF"/>
    <w:rsid w:val="0051153F"/>
    <w:rsid w:val="00511624"/>
    <w:rsid w:val="00511E22"/>
    <w:rsid w:val="00511FA4"/>
    <w:rsid w:val="00511FE6"/>
    <w:rsid w:val="00512290"/>
    <w:rsid w:val="00512366"/>
    <w:rsid w:val="0051245F"/>
    <w:rsid w:val="00513005"/>
    <w:rsid w:val="0051334E"/>
    <w:rsid w:val="00513762"/>
    <w:rsid w:val="0051376E"/>
    <w:rsid w:val="00513B56"/>
    <w:rsid w:val="00514617"/>
    <w:rsid w:val="00514BDF"/>
    <w:rsid w:val="005153F9"/>
    <w:rsid w:val="005155A6"/>
    <w:rsid w:val="00515DEC"/>
    <w:rsid w:val="00516184"/>
    <w:rsid w:val="00516FA1"/>
    <w:rsid w:val="005176B4"/>
    <w:rsid w:val="00517DE1"/>
    <w:rsid w:val="00520458"/>
    <w:rsid w:val="0052047D"/>
    <w:rsid w:val="00520568"/>
    <w:rsid w:val="005206C5"/>
    <w:rsid w:val="005208E0"/>
    <w:rsid w:val="0052273F"/>
    <w:rsid w:val="00522CC6"/>
    <w:rsid w:val="00522E54"/>
    <w:rsid w:val="00523B44"/>
    <w:rsid w:val="00523F70"/>
    <w:rsid w:val="0052459C"/>
    <w:rsid w:val="005245E1"/>
    <w:rsid w:val="005254D5"/>
    <w:rsid w:val="00525AB2"/>
    <w:rsid w:val="0053006D"/>
    <w:rsid w:val="005303B2"/>
    <w:rsid w:val="00531524"/>
    <w:rsid w:val="00531A45"/>
    <w:rsid w:val="005329C2"/>
    <w:rsid w:val="005337D4"/>
    <w:rsid w:val="00533B67"/>
    <w:rsid w:val="00534328"/>
    <w:rsid w:val="00535276"/>
    <w:rsid w:val="005360E7"/>
    <w:rsid w:val="005368EC"/>
    <w:rsid w:val="00537655"/>
    <w:rsid w:val="00540632"/>
    <w:rsid w:val="00540B30"/>
    <w:rsid w:val="00541296"/>
    <w:rsid w:val="005414DF"/>
    <w:rsid w:val="00541A03"/>
    <w:rsid w:val="005421CE"/>
    <w:rsid w:val="00543E0F"/>
    <w:rsid w:val="0054409D"/>
    <w:rsid w:val="0054499E"/>
    <w:rsid w:val="00544E4C"/>
    <w:rsid w:val="005454E8"/>
    <w:rsid w:val="00545DC5"/>
    <w:rsid w:val="00545F8F"/>
    <w:rsid w:val="005460B1"/>
    <w:rsid w:val="005467FD"/>
    <w:rsid w:val="00546DFB"/>
    <w:rsid w:val="00546E00"/>
    <w:rsid w:val="00547161"/>
    <w:rsid w:val="00547347"/>
    <w:rsid w:val="00547887"/>
    <w:rsid w:val="00547A73"/>
    <w:rsid w:val="00547F58"/>
    <w:rsid w:val="005509DA"/>
    <w:rsid w:val="00551A09"/>
    <w:rsid w:val="00551F85"/>
    <w:rsid w:val="0055206D"/>
    <w:rsid w:val="00552534"/>
    <w:rsid w:val="00552D2C"/>
    <w:rsid w:val="005533C7"/>
    <w:rsid w:val="0055511E"/>
    <w:rsid w:val="00555454"/>
    <w:rsid w:val="00555C66"/>
    <w:rsid w:val="005562DF"/>
    <w:rsid w:val="00556EDD"/>
    <w:rsid w:val="0056004E"/>
    <w:rsid w:val="0056123F"/>
    <w:rsid w:val="00561C18"/>
    <w:rsid w:val="00563514"/>
    <w:rsid w:val="005637A4"/>
    <w:rsid w:val="005639BA"/>
    <w:rsid w:val="005641B2"/>
    <w:rsid w:val="00564BC2"/>
    <w:rsid w:val="00564D46"/>
    <w:rsid w:val="00565C03"/>
    <w:rsid w:val="00566190"/>
    <w:rsid w:val="005666A1"/>
    <w:rsid w:val="005667B7"/>
    <w:rsid w:val="00566CF2"/>
    <w:rsid w:val="005674E0"/>
    <w:rsid w:val="00567671"/>
    <w:rsid w:val="00571A6A"/>
    <w:rsid w:val="00572663"/>
    <w:rsid w:val="00572787"/>
    <w:rsid w:val="00574A53"/>
    <w:rsid w:val="00574C98"/>
    <w:rsid w:val="00575577"/>
    <w:rsid w:val="00575935"/>
    <w:rsid w:val="00576171"/>
    <w:rsid w:val="0057629F"/>
    <w:rsid w:val="005765EA"/>
    <w:rsid w:val="00577004"/>
    <w:rsid w:val="00577C0E"/>
    <w:rsid w:val="00577EA1"/>
    <w:rsid w:val="005800AF"/>
    <w:rsid w:val="00580E7C"/>
    <w:rsid w:val="00582426"/>
    <w:rsid w:val="005826C0"/>
    <w:rsid w:val="005831F3"/>
    <w:rsid w:val="005832D4"/>
    <w:rsid w:val="0058370A"/>
    <w:rsid w:val="0058439D"/>
    <w:rsid w:val="00585A38"/>
    <w:rsid w:val="00586161"/>
    <w:rsid w:val="00587834"/>
    <w:rsid w:val="005879B6"/>
    <w:rsid w:val="00590EE0"/>
    <w:rsid w:val="00592342"/>
    <w:rsid w:val="00592DB0"/>
    <w:rsid w:val="00592F6D"/>
    <w:rsid w:val="0059379B"/>
    <w:rsid w:val="00593B8B"/>
    <w:rsid w:val="00594050"/>
    <w:rsid w:val="00594B2E"/>
    <w:rsid w:val="00594F86"/>
    <w:rsid w:val="00595267"/>
    <w:rsid w:val="00595545"/>
    <w:rsid w:val="005A0607"/>
    <w:rsid w:val="005A194C"/>
    <w:rsid w:val="005A1E0F"/>
    <w:rsid w:val="005A31EF"/>
    <w:rsid w:val="005A36CA"/>
    <w:rsid w:val="005A3B5B"/>
    <w:rsid w:val="005A3E17"/>
    <w:rsid w:val="005A3F4C"/>
    <w:rsid w:val="005A3F7D"/>
    <w:rsid w:val="005A5017"/>
    <w:rsid w:val="005A50DD"/>
    <w:rsid w:val="005A523F"/>
    <w:rsid w:val="005A5DF7"/>
    <w:rsid w:val="005A5F09"/>
    <w:rsid w:val="005A78C7"/>
    <w:rsid w:val="005A7CC0"/>
    <w:rsid w:val="005B0422"/>
    <w:rsid w:val="005B07C9"/>
    <w:rsid w:val="005B1027"/>
    <w:rsid w:val="005B19B5"/>
    <w:rsid w:val="005B1A84"/>
    <w:rsid w:val="005B1D23"/>
    <w:rsid w:val="005B2264"/>
    <w:rsid w:val="005B29E0"/>
    <w:rsid w:val="005B2C2B"/>
    <w:rsid w:val="005B2CCD"/>
    <w:rsid w:val="005B2EE5"/>
    <w:rsid w:val="005B33F2"/>
    <w:rsid w:val="005B358D"/>
    <w:rsid w:val="005B3C10"/>
    <w:rsid w:val="005B48D3"/>
    <w:rsid w:val="005B4C80"/>
    <w:rsid w:val="005B51C3"/>
    <w:rsid w:val="005B79AA"/>
    <w:rsid w:val="005C0BA1"/>
    <w:rsid w:val="005C0CB7"/>
    <w:rsid w:val="005C1E10"/>
    <w:rsid w:val="005C2336"/>
    <w:rsid w:val="005C2BD0"/>
    <w:rsid w:val="005C36CC"/>
    <w:rsid w:val="005C4F74"/>
    <w:rsid w:val="005C5383"/>
    <w:rsid w:val="005C55A3"/>
    <w:rsid w:val="005C5656"/>
    <w:rsid w:val="005C68C0"/>
    <w:rsid w:val="005C6BE3"/>
    <w:rsid w:val="005C6D8D"/>
    <w:rsid w:val="005C740C"/>
    <w:rsid w:val="005D0626"/>
    <w:rsid w:val="005D0AD7"/>
    <w:rsid w:val="005D0EFD"/>
    <w:rsid w:val="005D1692"/>
    <w:rsid w:val="005D2598"/>
    <w:rsid w:val="005D3B6B"/>
    <w:rsid w:val="005D3D0B"/>
    <w:rsid w:val="005D5DFA"/>
    <w:rsid w:val="005D5E42"/>
    <w:rsid w:val="005D6665"/>
    <w:rsid w:val="005D66ED"/>
    <w:rsid w:val="005D67A6"/>
    <w:rsid w:val="005D6D13"/>
    <w:rsid w:val="005D748F"/>
    <w:rsid w:val="005E013F"/>
    <w:rsid w:val="005E1723"/>
    <w:rsid w:val="005E1FFB"/>
    <w:rsid w:val="005E2286"/>
    <w:rsid w:val="005E2A4D"/>
    <w:rsid w:val="005E2D40"/>
    <w:rsid w:val="005E3ABB"/>
    <w:rsid w:val="005E3C74"/>
    <w:rsid w:val="005E4085"/>
    <w:rsid w:val="005E43A8"/>
    <w:rsid w:val="005E470E"/>
    <w:rsid w:val="005E47A3"/>
    <w:rsid w:val="005E491F"/>
    <w:rsid w:val="005E4D09"/>
    <w:rsid w:val="005E4E8E"/>
    <w:rsid w:val="005E5F7C"/>
    <w:rsid w:val="005E6093"/>
    <w:rsid w:val="005E62D3"/>
    <w:rsid w:val="005E6CE2"/>
    <w:rsid w:val="005E6FDB"/>
    <w:rsid w:val="005E7042"/>
    <w:rsid w:val="005E7213"/>
    <w:rsid w:val="005E77D3"/>
    <w:rsid w:val="005F15D8"/>
    <w:rsid w:val="005F2296"/>
    <w:rsid w:val="005F23A5"/>
    <w:rsid w:val="005F284E"/>
    <w:rsid w:val="005F2D60"/>
    <w:rsid w:val="005F38AD"/>
    <w:rsid w:val="005F4AED"/>
    <w:rsid w:val="005F4BAB"/>
    <w:rsid w:val="005F4DBF"/>
    <w:rsid w:val="005F5E9E"/>
    <w:rsid w:val="005F6106"/>
    <w:rsid w:val="005F73F9"/>
    <w:rsid w:val="005F7510"/>
    <w:rsid w:val="005F7A3E"/>
    <w:rsid w:val="006001E7"/>
    <w:rsid w:val="0060091E"/>
    <w:rsid w:val="006019E9"/>
    <w:rsid w:val="00601F9D"/>
    <w:rsid w:val="006023FC"/>
    <w:rsid w:val="00602456"/>
    <w:rsid w:val="00602DF4"/>
    <w:rsid w:val="0060308C"/>
    <w:rsid w:val="006032A7"/>
    <w:rsid w:val="00603AA0"/>
    <w:rsid w:val="00603DAE"/>
    <w:rsid w:val="006045FE"/>
    <w:rsid w:val="006046E5"/>
    <w:rsid w:val="00604AC9"/>
    <w:rsid w:val="00605C46"/>
    <w:rsid w:val="0060606D"/>
    <w:rsid w:val="00606425"/>
    <w:rsid w:val="0060690E"/>
    <w:rsid w:val="00606999"/>
    <w:rsid w:val="00606B27"/>
    <w:rsid w:val="0060786D"/>
    <w:rsid w:val="006104E2"/>
    <w:rsid w:val="0061072A"/>
    <w:rsid w:val="0061107C"/>
    <w:rsid w:val="00611189"/>
    <w:rsid w:val="00611287"/>
    <w:rsid w:val="00611714"/>
    <w:rsid w:val="00611715"/>
    <w:rsid w:val="00611855"/>
    <w:rsid w:val="00611B38"/>
    <w:rsid w:val="006122C1"/>
    <w:rsid w:val="006136B7"/>
    <w:rsid w:val="006136FD"/>
    <w:rsid w:val="00613724"/>
    <w:rsid w:val="00613CF3"/>
    <w:rsid w:val="0061439E"/>
    <w:rsid w:val="0061446B"/>
    <w:rsid w:val="0061478D"/>
    <w:rsid w:val="00614929"/>
    <w:rsid w:val="00615302"/>
    <w:rsid w:val="006155C4"/>
    <w:rsid w:val="006166E9"/>
    <w:rsid w:val="0061726A"/>
    <w:rsid w:val="006178C6"/>
    <w:rsid w:val="00617F52"/>
    <w:rsid w:val="006209A8"/>
    <w:rsid w:val="00620BA3"/>
    <w:rsid w:val="00620D74"/>
    <w:rsid w:val="0062130E"/>
    <w:rsid w:val="00621318"/>
    <w:rsid w:val="006224C1"/>
    <w:rsid w:val="006227DA"/>
    <w:rsid w:val="006227E2"/>
    <w:rsid w:val="00622C55"/>
    <w:rsid w:val="00623DF9"/>
    <w:rsid w:val="006245CF"/>
    <w:rsid w:val="00624960"/>
    <w:rsid w:val="00624E2C"/>
    <w:rsid w:val="00624F02"/>
    <w:rsid w:val="00625A03"/>
    <w:rsid w:val="00625B2F"/>
    <w:rsid w:val="00626187"/>
    <w:rsid w:val="00626984"/>
    <w:rsid w:val="00626C24"/>
    <w:rsid w:val="006271D9"/>
    <w:rsid w:val="00627F32"/>
    <w:rsid w:val="0063084D"/>
    <w:rsid w:val="006308F0"/>
    <w:rsid w:val="0063091A"/>
    <w:rsid w:val="00630BB7"/>
    <w:rsid w:val="00631186"/>
    <w:rsid w:val="00631339"/>
    <w:rsid w:val="006313F5"/>
    <w:rsid w:val="0063193D"/>
    <w:rsid w:val="00632061"/>
    <w:rsid w:val="00632592"/>
    <w:rsid w:val="00632655"/>
    <w:rsid w:val="00632745"/>
    <w:rsid w:val="006333A3"/>
    <w:rsid w:val="00633683"/>
    <w:rsid w:val="006346B7"/>
    <w:rsid w:val="00634865"/>
    <w:rsid w:val="00635631"/>
    <w:rsid w:val="00635980"/>
    <w:rsid w:val="00636477"/>
    <w:rsid w:val="00636B38"/>
    <w:rsid w:val="006373C5"/>
    <w:rsid w:val="00637486"/>
    <w:rsid w:val="006376ED"/>
    <w:rsid w:val="0063777F"/>
    <w:rsid w:val="00640734"/>
    <w:rsid w:val="006408FB"/>
    <w:rsid w:val="00640C20"/>
    <w:rsid w:val="00641B34"/>
    <w:rsid w:val="00642430"/>
    <w:rsid w:val="006425E4"/>
    <w:rsid w:val="0064260A"/>
    <w:rsid w:val="006453C5"/>
    <w:rsid w:val="006458EC"/>
    <w:rsid w:val="00645F23"/>
    <w:rsid w:val="00646B3D"/>
    <w:rsid w:val="00646C1B"/>
    <w:rsid w:val="00647477"/>
    <w:rsid w:val="00647EB3"/>
    <w:rsid w:val="00651138"/>
    <w:rsid w:val="006511A3"/>
    <w:rsid w:val="00651807"/>
    <w:rsid w:val="00651A62"/>
    <w:rsid w:val="006520A7"/>
    <w:rsid w:val="00653100"/>
    <w:rsid w:val="006535F3"/>
    <w:rsid w:val="006550B5"/>
    <w:rsid w:val="006561D7"/>
    <w:rsid w:val="0065633E"/>
    <w:rsid w:val="006566F6"/>
    <w:rsid w:val="00656A22"/>
    <w:rsid w:val="00656C30"/>
    <w:rsid w:val="00657D09"/>
    <w:rsid w:val="00660FB3"/>
    <w:rsid w:val="006610A6"/>
    <w:rsid w:val="006613E6"/>
    <w:rsid w:val="00661C98"/>
    <w:rsid w:val="00661E38"/>
    <w:rsid w:val="0066237F"/>
    <w:rsid w:val="00662E47"/>
    <w:rsid w:val="00663B82"/>
    <w:rsid w:val="00663BF7"/>
    <w:rsid w:val="00663EDB"/>
    <w:rsid w:val="00664219"/>
    <w:rsid w:val="00664482"/>
    <w:rsid w:val="00664DA9"/>
    <w:rsid w:val="0066598D"/>
    <w:rsid w:val="006659BE"/>
    <w:rsid w:val="00665E7A"/>
    <w:rsid w:val="00666C63"/>
    <w:rsid w:val="00666E11"/>
    <w:rsid w:val="00670201"/>
    <w:rsid w:val="00670A6D"/>
    <w:rsid w:val="00671EF5"/>
    <w:rsid w:val="00673610"/>
    <w:rsid w:val="00675797"/>
    <w:rsid w:val="00675919"/>
    <w:rsid w:val="006764B3"/>
    <w:rsid w:val="0068029C"/>
    <w:rsid w:val="0068062F"/>
    <w:rsid w:val="00680F24"/>
    <w:rsid w:val="00681447"/>
    <w:rsid w:val="00681683"/>
    <w:rsid w:val="00681700"/>
    <w:rsid w:val="00683FDC"/>
    <w:rsid w:val="006847AF"/>
    <w:rsid w:val="00685AF2"/>
    <w:rsid w:val="00685B20"/>
    <w:rsid w:val="00687182"/>
    <w:rsid w:val="00687AFB"/>
    <w:rsid w:val="00687B79"/>
    <w:rsid w:val="00687E61"/>
    <w:rsid w:val="00690064"/>
    <w:rsid w:val="006905C6"/>
    <w:rsid w:val="006907C5"/>
    <w:rsid w:val="00690A19"/>
    <w:rsid w:val="0069109A"/>
    <w:rsid w:val="00691446"/>
    <w:rsid w:val="006917CD"/>
    <w:rsid w:val="00691B34"/>
    <w:rsid w:val="00691DFE"/>
    <w:rsid w:val="006924C1"/>
    <w:rsid w:val="00692780"/>
    <w:rsid w:val="00692A00"/>
    <w:rsid w:val="006934ED"/>
    <w:rsid w:val="00693548"/>
    <w:rsid w:val="00693595"/>
    <w:rsid w:val="00693928"/>
    <w:rsid w:val="006947A9"/>
    <w:rsid w:val="006949D2"/>
    <w:rsid w:val="00694C06"/>
    <w:rsid w:val="00694C5F"/>
    <w:rsid w:val="00695140"/>
    <w:rsid w:val="00696917"/>
    <w:rsid w:val="00697544"/>
    <w:rsid w:val="00697946"/>
    <w:rsid w:val="006A028F"/>
    <w:rsid w:val="006A0DE8"/>
    <w:rsid w:val="006A2333"/>
    <w:rsid w:val="006A23D3"/>
    <w:rsid w:val="006A38F5"/>
    <w:rsid w:val="006A4D43"/>
    <w:rsid w:val="006A6325"/>
    <w:rsid w:val="006A6E1D"/>
    <w:rsid w:val="006A71A2"/>
    <w:rsid w:val="006A742B"/>
    <w:rsid w:val="006A77B9"/>
    <w:rsid w:val="006A7A0B"/>
    <w:rsid w:val="006B15F7"/>
    <w:rsid w:val="006B169E"/>
    <w:rsid w:val="006B1A42"/>
    <w:rsid w:val="006B1A89"/>
    <w:rsid w:val="006B2842"/>
    <w:rsid w:val="006B2E90"/>
    <w:rsid w:val="006B2E9F"/>
    <w:rsid w:val="006B32AB"/>
    <w:rsid w:val="006B388A"/>
    <w:rsid w:val="006B652D"/>
    <w:rsid w:val="006B65A7"/>
    <w:rsid w:val="006B682E"/>
    <w:rsid w:val="006B68E0"/>
    <w:rsid w:val="006B6C95"/>
    <w:rsid w:val="006B6F8B"/>
    <w:rsid w:val="006B72FB"/>
    <w:rsid w:val="006B7F66"/>
    <w:rsid w:val="006C209F"/>
    <w:rsid w:val="006C320A"/>
    <w:rsid w:val="006C32DC"/>
    <w:rsid w:val="006C3577"/>
    <w:rsid w:val="006C4BC8"/>
    <w:rsid w:val="006C4E53"/>
    <w:rsid w:val="006C56DA"/>
    <w:rsid w:val="006C5846"/>
    <w:rsid w:val="006C6511"/>
    <w:rsid w:val="006C655B"/>
    <w:rsid w:val="006C76FB"/>
    <w:rsid w:val="006D001F"/>
    <w:rsid w:val="006D1884"/>
    <w:rsid w:val="006D1972"/>
    <w:rsid w:val="006D19FD"/>
    <w:rsid w:val="006D1A13"/>
    <w:rsid w:val="006D329F"/>
    <w:rsid w:val="006D32F6"/>
    <w:rsid w:val="006D4362"/>
    <w:rsid w:val="006D49AC"/>
    <w:rsid w:val="006D4A96"/>
    <w:rsid w:val="006D4AA0"/>
    <w:rsid w:val="006D4C62"/>
    <w:rsid w:val="006D547A"/>
    <w:rsid w:val="006D5A84"/>
    <w:rsid w:val="006D5B3B"/>
    <w:rsid w:val="006D5C23"/>
    <w:rsid w:val="006D60C2"/>
    <w:rsid w:val="006D629F"/>
    <w:rsid w:val="006D67E2"/>
    <w:rsid w:val="006D698F"/>
    <w:rsid w:val="006D6D66"/>
    <w:rsid w:val="006D712C"/>
    <w:rsid w:val="006D7ADA"/>
    <w:rsid w:val="006E1047"/>
    <w:rsid w:val="006E16AE"/>
    <w:rsid w:val="006E1820"/>
    <w:rsid w:val="006E237B"/>
    <w:rsid w:val="006E29A5"/>
    <w:rsid w:val="006E3763"/>
    <w:rsid w:val="006E37A9"/>
    <w:rsid w:val="006E3A5D"/>
    <w:rsid w:val="006E43AD"/>
    <w:rsid w:val="006E45C9"/>
    <w:rsid w:val="006E4C13"/>
    <w:rsid w:val="006E638A"/>
    <w:rsid w:val="006E6450"/>
    <w:rsid w:val="006E6A83"/>
    <w:rsid w:val="006E6BD0"/>
    <w:rsid w:val="006E7C12"/>
    <w:rsid w:val="006F07C5"/>
    <w:rsid w:val="006F0BE7"/>
    <w:rsid w:val="006F1312"/>
    <w:rsid w:val="006F1D3B"/>
    <w:rsid w:val="006F1D7D"/>
    <w:rsid w:val="006F1DDA"/>
    <w:rsid w:val="006F1EFB"/>
    <w:rsid w:val="006F265F"/>
    <w:rsid w:val="006F32B3"/>
    <w:rsid w:val="006F41C3"/>
    <w:rsid w:val="006F44B3"/>
    <w:rsid w:val="006F460E"/>
    <w:rsid w:val="006F4DBC"/>
    <w:rsid w:val="006F5135"/>
    <w:rsid w:val="006F54CC"/>
    <w:rsid w:val="006F5528"/>
    <w:rsid w:val="006F552B"/>
    <w:rsid w:val="006F5782"/>
    <w:rsid w:val="006F5850"/>
    <w:rsid w:val="006F6039"/>
    <w:rsid w:val="006F6659"/>
    <w:rsid w:val="006F71DA"/>
    <w:rsid w:val="006F7553"/>
    <w:rsid w:val="006F7E8D"/>
    <w:rsid w:val="007005DF"/>
    <w:rsid w:val="0070081B"/>
    <w:rsid w:val="0070113A"/>
    <w:rsid w:val="0070184A"/>
    <w:rsid w:val="00701A88"/>
    <w:rsid w:val="00701ACD"/>
    <w:rsid w:val="00701B21"/>
    <w:rsid w:val="007026D6"/>
    <w:rsid w:val="00702909"/>
    <w:rsid w:val="007032DC"/>
    <w:rsid w:val="00703E35"/>
    <w:rsid w:val="00704168"/>
    <w:rsid w:val="00704C82"/>
    <w:rsid w:val="00704E4F"/>
    <w:rsid w:val="00705989"/>
    <w:rsid w:val="00705BDB"/>
    <w:rsid w:val="00705C33"/>
    <w:rsid w:val="007105EE"/>
    <w:rsid w:val="007109B3"/>
    <w:rsid w:val="00710A63"/>
    <w:rsid w:val="00710C6F"/>
    <w:rsid w:val="00710E30"/>
    <w:rsid w:val="00711895"/>
    <w:rsid w:val="007130A0"/>
    <w:rsid w:val="00713159"/>
    <w:rsid w:val="007133FE"/>
    <w:rsid w:val="00713598"/>
    <w:rsid w:val="0071382D"/>
    <w:rsid w:val="00713A65"/>
    <w:rsid w:val="00714100"/>
    <w:rsid w:val="007142F6"/>
    <w:rsid w:val="007149A9"/>
    <w:rsid w:val="00714DD2"/>
    <w:rsid w:val="00715B0A"/>
    <w:rsid w:val="0071610F"/>
    <w:rsid w:val="00716880"/>
    <w:rsid w:val="00716AF5"/>
    <w:rsid w:val="007170CB"/>
    <w:rsid w:val="007200B1"/>
    <w:rsid w:val="00720B93"/>
    <w:rsid w:val="00720E47"/>
    <w:rsid w:val="00721197"/>
    <w:rsid w:val="00721205"/>
    <w:rsid w:val="00721638"/>
    <w:rsid w:val="00721691"/>
    <w:rsid w:val="00721B73"/>
    <w:rsid w:val="00722486"/>
    <w:rsid w:val="00722C14"/>
    <w:rsid w:val="00723705"/>
    <w:rsid w:val="007238C7"/>
    <w:rsid w:val="00724AC4"/>
    <w:rsid w:val="00724C04"/>
    <w:rsid w:val="00724C3A"/>
    <w:rsid w:val="0072534C"/>
    <w:rsid w:val="0072540F"/>
    <w:rsid w:val="00725702"/>
    <w:rsid w:val="00726775"/>
    <w:rsid w:val="00727C66"/>
    <w:rsid w:val="0073032D"/>
    <w:rsid w:val="00730BFB"/>
    <w:rsid w:val="00731535"/>
    <w:rsid w:val="00731622"/>
    <w:rsid w:val="00731678"/>
    <w:rsid w:val="00732242"/>
    <w:rsid w:val="00732754"/>
    <w:rsid w:val="00733BB7"/>
    <w:rsid w:val="00737584"/>
    <w:rsid w:val="007377F9"/>
    <w:rsid w:val="00737AC2"/>
    <w:rsid w:val="00741174"/>
    <w:rsid w:val="00741185"/>
    <w:rsid w:val="00741476"/>
    <w:rsid w:val="00741869"/>
    <w:rsid w:val="00741A0D"/>
    <w:rsid w:val="0074205F"/>
    <w:rsid w:val="0074248F"/>
    <w:rsid w:val="007428D4"/>
    <w:rsid w:val="00742B89"/>
    <w:rsid w:val="0074383C"/>
    <w:rsid w:val="0074418E"/>
    <w:rsid w:val="00744662"/>
    <w:rsid w:val="00744948"/>
    <w:rsid w:val="00745A36"/>
    <w:rsid w:val="007464DE"/>
    <w:rsid w:val="0074784F"/>
    <w:rsid w:val="007479EF"/>
    <w:rsid w:val="00750388"/>
    <w:rsid w:val="00750441"/>
    <w:rsid w:val="00750B87"/>
    <w:rsid w:val="00750BBA"/>
    <w:rsid w:val="00751CB1"/>
    <w:rsid w:val="00751E0A"/>
    <w:rsid w:val="00752B7D"/>
    <w:rsid w:val="00752BD0"/>
    <w:rsid w:val="00753014"/>
    <w:rsid w:val="00753325"/>
    <w:rsid w:val="00753575"/>
    <w:rsid w:val="0075401E"/>
    <w:rsid w:val="00754057"/>
    <w:rsid w:val="0075426C"/>
    <w:rsid w:val="007549D5"/>
    <w:rsid w:val="00754C00"/>
    <w:rsid w:val="007558B2"/>
    <w:rsid w:val="00755922"/>
    <w:rsid w:val="00755C4F"/>
    <w:rsid w:val="00755D63"/>
    <w:rsid w:val="0075620D"/>
    <w:rsid w:val="007562A4"/>
    <w:rsid w:val="0075669C"/>
    <w:rsid w:val="00756949"/>
    <w:rsid w:val="00756EA1"/>
    <w:rsid w:val="007577E3"/>
    <w:rsid w:val="00757AFA"/>
    <w:rsid w:val="00757CF9"/>
    <w:rsid w:val="00760556"/>
    <w:rsid w:val="00760A76"/>
    <w:rsid w:val="00760B57"/>
    <w:rsid w:val="0076168A"/>
    <w:rsid w:val="00761785"/>
    <w:rsid w:val="007618BB"/>
    <w:rsid w:val="0076191A"/>
    <w:rsid w:val="0076244C"/>
    <w:rsid w:val="00762695"/>
    <w:rsid w:val="00762831"/>
    <w:rsid w:val="00763581"/>
    <w:rsid w:val="00763A58"/>
    <w:rsid w:val="00763F19"/>
    <w:rsid w:val="0076463A"/>
    <w:rsid w:val="00764FC1"/>
    <w:rsid w:val="007651E9"/>
    <w:rsid w:val="00766537"/>
    <w:rsid w:val="007665A0"/>
    <w:rsid w:val="007676A3"/>
    <w:rsid w:val="007679CC"/>
    <w:rsid w:val="00767B6E"/>
    <w:rsid w:val="00770433"/>
    <w:rsid w:val="007716FE"/>
    <w:rsid w:val="00771D68"/>
    <w:rsid w:val="007720E2"/>
    <w:rsid w:val="007726E3"/>
    <w:rsid w:val="007730AD"/>
    <w:rsid w:val="00773DB2"/>
    <w:rsid w:val="007741C6"/>
    <w:rsid w:val="00774760"/>
    <w:rsid w:val="00774FD6"/>
    <w:rsid w:val="007750A8"/>
    <w:rsid w:val="00775C6A"/>
    <w:rsid w:val="00776C6B"/>
    <w:rsid w:val="00776F5E"/>
    <w:rsid w:val="00777FC8"/>
    <w:rsid w:val="0078088D"/>
    <w:rsid w:val="00780C10"/>
    <w:rsid w:val="00781422"/>
    <w:rsid w:val="0078180D"/>
    <w:rsid w:val="00782936"/>
    <w:rsid w:val="00782C2E"/>
    <w:rsid w:val="00782CB2"/>
    <w:rsid w:val="00782E60"/>
    <w:rsid w:val="00783131"/>
    <w:rsid w:val="00783607"/>
    <w:rsid w:val="00783B67"/>
    <w:rsid w:val="007840C8"/>
    <w:rsid w:val="0078428E"/>
    <w:rsid w:val="00784F7E"/>
    <w:rsid w:val="00785371"/>
    <w:rsid w:val="00785485"/>
    <w:rsid w:val="00785826"/>
    <w:rsid w:val="00785922"/>
    <w:rsid w:val="007859CD"/>
    <w:rsid w:val="00785F2E"/>
    <w:rsid w:val="0078616D"/>
    <w:rsid w:val="00786446"/>
    <w:rsid w:val="00786E47"/>
    <w:rsid w:val="00786F76"/>
    <w:rsid w:val="0078711C"/>
    <w:rsid w:val="00787F0D"/>
    <w:rsid w:val="007902A4"/>
    <w:rsid w:val="00790DCB"/>
    <w:rsid w:val="00791DFD"/>
    <w:rsid w:val="00791E78"/>
    <w:rsid w:val="00791F10"/>
    <w:rsid w:val="00792103"/>
    <w:rsid w:val="00792B66"/>
    <w:rsid w:val="007932FA"/>
    <w:rsid w:val="00793532"/>
    <w:rsid w:val="0079375D"/>
    <w:rsid w:val="00793B3F"/>
    <w:rsid w:val="00794187"/>
    <w:rsid w:val="00794E05"/>
    <w:rsid w:val="0079513D"/>
    <w:rsid w:val="00795274"/>
    <w:rsid w:val="0079537D"/>
    <w:rsid w:val="00795B9A"/>
    <w:rsid w:val="00796998"/>
    <w:rsid w:val="00796C04"/>
    <w:rsid w:val="007974D3"/>
    <w:rsid w:val="00797A95"/>
    <w:rsid w:val="00797DA6"/>
    <w:rsid w:val="007A02C8"/>
    <w:rsid w:val="007A092E"/>
    <w:rsid w:val="007A0EA7"/>
    <w:rsid w:val="007A17D9"/>
    <w:rsid w:val="007A1C1D"/>
    <w:rsid w:val="007A301D"/>
    <w:rsid w:val="007A30DC"/>
    <w:rsid w:val="007A3DDC"/>
    <w:rsid w:val="007A3FAA"/>
    <w:rsid w:val="007A4149"/>
    <w:rsid w:val="007A4538"/>
    <w:rsid w:val="007A47E6"/>
    <w:rsid w:val="007A48C1"/>
    <w:rsid w:val="007A589A"/>
    <w:rsid w:val="007A6B9A"/>
    <w:rsid w:val="007A76CD"/>
    <w:rsid w:val="007B00C2"/>
    <w:rsid w:val="007B04D9"/>
    <w:rsid w:val="007B06C1"/>
    <w:rsid w:val="007B083C"/>
    <w:rsid w:val="007B0E7A"/>
    <w:rsid w:val="007B0EA0"/>
    <w:rsid w:val="007B112B"/>
    <w:rsid w:val="007B1340"/>
    <w:rsid w:val="007B15BE"/>
    <w:rsid w:val="007B2224"/>
    <w:rsid w:val="007B30FF"/>
    <w:rsid w:val="007B35AF"/>
    <w:rsid w:val="007B36AD"/>
    <w:rsid w:val="007B3898"/>
    <w:rsid w:val="007B4E30"/>
    <w:rsid w:val="007B4FF3"/>
    <w:rsid w:val="007B5763"/>
    <w:rsid w:val="007B5907"/>
    <w:rsid w:val="007B5EBA"/>
    <w:rsid w:val="007B748C"/>
    <w:rsid w:val="007C0362"/>
    <w:rsid w:val="007C04D7"/>
    <w:rsid w:val="007C1072"/>
    <w:rsid w:val="007C142A"/>
    <w:rsid w:val="007C1F67"/>
    <w:rsid w:val="007C35C3"/>
    <w:rsid w:val="007C3960"/>
    <w:rsid w:val="007C3C7A"/>
    <w:rsid w:val="007C418C"/>
    <w:rsid w:val="007C42BA"/>
    <w:rsid w:val="007C48DA"/>
    <w:rsid w:val="007C5125"/>
    <w:rsid w:val="007C573A"/>
    <w:rsid w:val="007C6182"/>
    <w:rsid w:val="007C65E8"/>
    <w:rsid w:val="007C752D"/>
    <w:rsid w:val="007D007F"/>
    <w:rsid w:val="007D07F3"/>
    <w:rsid w:val="007D1222"/>
    <w:rsid w:val="007D1DA4"/>
    <w:rsid w:val="007D244F"/>
    <w:rsid w:val="007D29A4"/>
    <w:rsid w:val="007D29D3"/>
    <w:rsid w:val="007D36A7"/>
    <w:rsid w:val="007D3827"/>
    <w:rsid w:val="007D3CD8"/>
    <w:rsid w:val="007D408C"/>
    <w:rsid w:val="007D425C"/>
    <w:rsid w:val="007D46CD"/>
    <w:rsid w:val="007D4C5A"/>
    <w:rsid w:val="007D50FF"/>
    <w:rsid w:val="007D5184"/>
    <w:rsid w:val="007D5D9F"/>
    <w:rsid w:val="007D69C0"/>
    <w:rsid w:val="007D6AB2"/>
    <w:rsid w:val="007E030B"/>
    <w:rsid w:val="007E0CD5"/>
    <w:rsid w:val="007E0FF8"/>
    <w:rsid w:val="007E1229"/>
    <w:rsid w:val="007E1778"/>
    <w:rsid w:val="007E239B"/>
    <w:rsid w:val="007E2C69"/>
    <w:rsid w:val="007E39ED"/>
    <w:rsid w:val="007E3BA0"/>
    <w:rsid w:val="007E3E99"/>
    <w:rsid w:val="007E451B"/>
    <w:rsid w:val="007E4946"/>
    <w:rsid w:val="007E4D95"/>
    <w:rsid w:val="007E4F1D"/>
    <w:rsid w:val="007E5A5B"/>
    <w:rsid w:val="007E60F0"/>
    <w:rsid w:val="007E6B4A"/>
    <w:rsid w:val="007E6F56"/>
    <w:rsid w:val="007E706F"/>
    <w:rsid w:val="007E707F"/>
    <w:rsid w:val="007E7F22"/>
    <w:rsid w:val="007F007B"/>
    <w:rsid w:val="007F0641"/>
    <w:rsid w:val="007F1151"/>
    <w:rsid w:val="007F122B"/>
    <w:rsid w:val="007F13B3"/>
    <w:rsid w:val="007F1411"/>
    <w:rsid w:val="007F1DA0"/>
    <w:rsid w:val="007F23CB"/>
    <w:rsid w:val="007F264F"/>
    <w:rsid w:val="007F2DAE"/>
    <w:rsid w:val="007F2F54"/>
    <w:rsid w:val="007F2F65"/>
    <w:rsid w:val="007F3038"/>
    <w:rsid w:val="007F30B6"/>
    <w:rsid w:val="007F37DF"/>
    <w:rsid w:val="007F4895"/>
    <w:rsid w:val="007F4A25"/>
    <w:rsid w:val="007F5819"/>
    <w:rsid w:val="007F58FB"/>
    <w:rsid w:val="007F6C1E"/>
    <w:rsid w:val="007F6D2F"/>
    <w:rsid w:val="007F7166"/>
    <w:rsid w:val="007F7507"/>
    <w:rsid w:val="007F7ACF"/>
    <w:rsid w:val="007F7C79"/>
    <w:rsid w:val="0080008D"/>
    <w:rsid w:val="008009F2"/>
    <w:rsid w:val="00800A28"/>
    <w:rsid w:val="00801748"/>
    <w:rsid w:val="00803FCE"/>
    <w:rsid w:val="00804E3F"/>
    <w:rsid w:val="00805060"/>
    <w:rsid w:val="00805483"/>
    <w:rsid w:val="008063E1"/>
    <w:rsid w:val="00807044"/>
    <w:rsid w:val="008072E4"/>
    <w:rsid w:val="00810A4B"/>
    <w:rsid w:val="00811086"/>
    <w:rsid w:val="008113CC"/>
    <w:rsid w:val="00812846"/>
    <w:rsid w:val="008128B7"/>
    <w:rsid w:val="00812F87"/>
    <w:rsid w:val="00813605"/>
    <w:rsid w:val="00814AF7"/>
    <w:rsid w:val="00814C77"/>
    <w:rsid w:val="00816069"/>
    <w:rsid w:val="00816F44"/>
    <w:rsid w:val="00816FCD"/>
    <w:rsid w:val="00817583"/>
    <w:rsid w:val="00817850"/>
    <w:rsid w:val="00820040"/>
    <w:rsid w:val="0082014E"/>
    <w:rsid w:val="00820A92"/>
    <w:rsid w:val="008218D0"/>
    <w:rsid w:val="00821AC0"/>
    <w:rsid w:val="008223B3"/>
    <w:rsid w:val="008224A7"/>
    <w:rsid w:val="00822B1E"/>
    <w:rsid w:val="00823A8A"/>
    <w:rsid w:val="00823AFD"/>
    <w:rsid w:val="00823B4B"/>
    <w:rsid w:val="00823F36"/>
    <w:rsid w:val="008251CF"/>
    <w:rsid w:val="00826103"/>
    <w:rsid w:val="00826668"/>
    <w:rsid w:val="00826C8F"/>
    <w:rsid w:val="00826D96"/>
    <w:rsid w:val="008277CA"/>
    <w:rsid w:val="00827AD4"/>
    <w:rsid w:val="0083166C"/>
    <w:rsid w:val="008316AC"/>
    <w:rsid w:val="008324AA"/>
    <w:rsid w:val="008331AD"/>
    <w:rsid w:val="008356BF"/>
    <w:rsid w:val="00836AD9"/>
    <w:rsid w:val="00836AF6"/>
    <w:rsid w:val="00837C97"/>
    <w:rsid w:val="00841B12"/>
    <w:rsid w:val="0084204F"/>
    <w:rsid w:val="00842C36"/>
    <w:rsid w:val="00844B0D"/>
    <w:rsid w:val="00844CCA"/>
    <w:rsid w:val="00844F46"/>
    <w:rsid w:val="00845478"/>
    <w:rsid w:val="0084665E"/>
    <w:rsid w:val="008467A9"/>
    <w:rsid w:val="00846D31"/>
    <w:rsid w:val="00846F8E"/>
    <w:rsid w:val="00847B8D"/>
    <w:rsid w:val="00847C53"/>
    <w:rsid w:val="00847EDD"/>
    <w:rsid w:val="00850145"/>
    <w:rsid w:val="0085038F"/>
    <w:rsid w:val="008507DF"/>
    <w:rsid w:val="00850808"/>
    <w:rsid w:val="00850858"/>
    <w:rsid w:val="00850966"/>
    <w:rsid w:val="00850AEC"/>
    <w:rsid w:val="00850B85"/>
    <w:rsid w:val="00851B66"/>
    <w:rsid w:val="00851DF3"/>
    <w:rsid w:val="00852288"/>
    <w:rsid w:val="00852E60"/>
    <w:rsid w:val="0085400D"/>
    <w:rsid w:val="00854062"/>
    <w:rsid w:val="00854BAA"/>
    <w:rsid w:val="00855089"/>
    <w:rsid w:val="0085575A"/>
    <w:rsid w:val="00855A02"/>
    <w:rsid w:val="008563F0"/>
    <w:rsid w:val="008575C8"/>
    <w:rsid w:val="00857AAF"/>
    <w:rsid w:val="0086070D"/>
    <w:rsid w:val="00861352"/>
    <w:rsid w:val="0086148E"/>
    <w:rsid w:val="00861921"/>
    <w:rsid w:val="008624C1"/>
    <w:rsid w:val="0086297B"/>
    <w:rsid w:val="0086397C"/>
    <w:rsid w:val="00864A8B"/>
    <w:rsid w:val="008658E9"/>
    <w:rsid w:val="00866FB6"/>
    <w:rsid w:val="0086715E"/>
    <w:rsid w:val="00867227"/>
    <w:rsid w:val="00867330"/>
    <w:rsid w:val="00867E22"/>
    <w:rsid w:val="0087023C"/>
    <w:rsid w:val="008702D2"/>
    <w:rsid w:val="0087096F"/>
    <w:rsid w:val="00871A3D"/>
    <w:rsid w:val="00871B62"/>
    <w:rsid w:val="00871F3E"/>
    <w:rsid w:val="00872341"/>
    <w:rsid w:val="00872EFF"/>
    <w:rsid w:val="00873322"/>
    <w:rsid w:val="00873734"/>
    <w:rsid w:val="008737C9"/>
    <w:rsid w:val="00873CE6"/>
    <w:rsid w:val="00873E56"/>
    <w:rsid w:val="00874E00"/>
    <w:rsid w:val="00875423"/>
    <w:rsid w:val="00875D05"/>
    <w:rsid w:val="00875D4D"/>
    <w:rsid w:val="00876108"/>
    <w:rsid w:val="00877340"/>
    <w:rsid w:val="00877494"/>
    <w:rsid w:val="00881208"/>
    <w:rsid w:val="0088132F"/>
    <w:rsid w:val="00881413"/>
    <w:rsid w:val="00881861"/>
    <w:rsid w:val="0088205C"/>
    <w:rsid w:val="00882775"/>
    <w:rsid w:val="00882854"/>
    <w:rsid w:val="00884075"/>
    <w:rsid w:val="00884ED0"/>
    <w:rsid w:val="00885C57"/>
    <w:rsid w:val="00886202"/>
    <w:rsid w:val="008863D0"/>
    <w:rsid w:val="00886559"/>
    <w:rsid w:val="008866B3"/>
    <w:rsid w:val="008866E3"/>
    <w:rsid w:val="008876CE"/>
    <w:rsid w:val="00887CD8"/>
    <w:rsid w:val="008904D4"/>
    <w:rsid w:val="00890D3F"/>
    <w:rsid w:val="0089177C"/>
    <w:rsid w:val="00891EC9"/>
    <w:rsid w:val="00892698"/>
    <w:rsid w:val="008928A7"/>
    <w:rsid w:val="00892DE1"/>
    <w:rsid w:val="0089322A"/>
    <w:rsid w:val="00893A9E"/>
    <w:rsid w:val="008942C0"/>
    <w:rsid w:val="008944F2"/>
    <w:rsid w:val="00894E2D"/>
    <w:rsid w:val="00895C38"/>
    <w:rsid w:val="008962EF"/>
    <w:rsid w:val="00896FBA"/>
    <w:rsid w:val="008975DD"/>
    <w:rsid w:val="008A095E"/>
    <w:rsid w:val="008A0AC1"/>
    <w:rsid w:val="008A0B82"/>
    <w:rsid w:val="008A0D2B"/>
    <w:rsid w:val="008A0D58"/>
    <w:rsid w:val="008A1499"/>
    <w:rsid w:val="008A29DB"/>
    <w:rsid w:val="008A2E42"/>
    <w:rsid w:val="008A2EC4"/>
    <w:rsid w:val="008A3A44"/>
    <w:rsid w:val="008A4962"/>
    <w:rsid w:val="008A4A61"/>
    <w:rsid w:val="008A4C71"/>
    <w:rsid w:val="008A4FEF"/>
    <w:rsid w:val="008A526B"/>
    <w:rsid w:val="008A5607"/>
    <w:rsid w:val="008A5A7E"/>
    <w:rsid w:val="008A5F8E"/>
    <w:rsid w:val="008A68B9"/>
    <w:rsid w:val="008A6BFF"/>
    <w:rsid w:val="008A6F4C"/>
    <w:rsid w:val="008A745F"/>
    <w:rsid w:val="008A74F3"/>
    <w:rsid w:val="008B0203"/>
    <w:rsid w:val="008B047A"/>
    <w:rsid w:val="008B077B"/>
    <w:rsid w:val="008B0AEC"/>
    <w:rsid w:val="008B0CDA"/>
    <w:rsid w:val="008B1A12"/>
    <w:rsid w:val="008B1BFB"/>
    <w:rsid w:val="008B2529"/>
    <w:rsid w:val="008B30A9"/>
    <w:rsid w:val="008B43E1"/>
    <w:rsid w:val="008B4798"/>
    <w:rsid w:val="008B4956"/>
    <w:rsid w:val="008B4A57"/>
    <w:rsid w:val="008B5599"/>
    <w:rsid w:val="008B60AB"/>
    <w:rsid w:val="008B6884"/>
    <w:rsid w:val="008B6C7E"/>
    <w:rsid w:val="008B6DDB"/>
    <w:rsid w:val="008B6E1B"/>
    <w:rsid w:val="008B71AB"/>
    <w:rsid w:val="008B74D9"/>
    <w:rsid w:val="008B7759"/>
    <w:rsid w:val="008B7C99"/>
    <w:rsid w:val="008B7D50"/>
    <w:rsid w:val="008C0129"/>
    <w:rsid w:val="008C08CD"/>
    <w:rsid w:val="008C091A"/>
    <w:rsid w:val="008C0B10"/>
    <w:rsid w:val="008C0B31"/>
    <w:rsid w:val="008C1BC5"/>
    <w:rsid w:val="008C1C2C"/>
    <w:rsid w:val="008C2F3C"/>
    <w:rsid w:val="008C32E0"/>
    <w:rsid w:val="008C33ED"/>
    <w:rsid w:val="008C3844"/>
    <w:rsid w:val="008C388C"/>
    <w:rsid w:val="008C4333"/>
    <w:rsid w:val="008C4A60"/>
    <w:rsid w:val="008C5A14"/>
    <w:rsid w:val="008C5B0F"/>
    <w:rsid w:val="008C5BC3"/>
    <w:rsid w:val="008C654A"/>
    <w:rsid w:val="008C7786"/>
    <w:rsid w:val="008D0075"/>
    <w:rsid w:val="008D0F43"/>
    <w:rsid w:val="008D1935"/>
    <w:rsid w:val="008D1F1F"/>
    <w:rsid w:val="008D1FDF"/>
    <w:rsid w:val="008D2F42"/>
    <w:rsid w:val="008D3723"/>
    <w:rsid w:val="008D41FA"/>
    <w:rsid w:val="008D44C7"/>
    <w:rsid w:val="008D49F8"/>
    <w:rsid w:val="008D4AB4"/>
    <w:rsid w:val="008D5301"/>
    <w:rsid w:val="008D5342"/>
    <w:rsid w:val="008D53A4"/>
    <w:rsid w:val="008D53AD"/>
    <w:rsid w:val="008D6124"/>
    <w:rsid w:val="008D62DF"/>
    <w:rsid w:val="008D67C7"/>
    <w:rsid w:val="008D7183"/>
    <w:rsid w:val="008D7C78"/>
    <w:rsid w:val="008E001E"/>
    <w:rsid w:val="008E056A"/>
    <w:rsid w:val="008E06AE"/>
    <w:rsid w:val="008E0FA2"/>
    <w:rsid w:val="008E2293"/>
    <w:rsid w:val="008E27DB"/>
    <w:rsid w:val="008E2962"/>
    <w:rsid w:val="008E29AA"/>
    <w:rsid w:val="008E31DB"/>
    <w:rsid w:val="008E4076"/>
    <w:rsid w:val="008E4422"/>
    <w:rsid w:val="008E45CB"/>
    <w:rsid w:val="008E483E"/>
    <w:rsid w:val="008E5841"/>
    <w:rsid w:val="008E5B7F"/>
    <w:rsid w:val="008E61DC"/>
    <w:rsid w:val="008E61F7"/>
    <w:rsid w:val="008E7073"/>
    <w:rsid w:val="008E70CC"/>
    <w:rsid w:val="008E74B9"/>
    <w:rsid w:val="008E78EA"/>
    <w:rsid w:val="008F0529"/>
    <w:rsid w:val="008F0F03"/>
    <w:rsid w:val="008F1560"/>
    <w:rsid w:val="008F17FA"/>
    <w:rsid w:val="008F223F"/>
    <w:rsid w:val="008F276C"/>
    <w:rsid w:val="008F29E8"/>
    <w:rsid w:val="008F338F"/>
    <w:rsid w:val="008F401F"/>
    <w:rsid w:val="008F4F63"/>
    <w:rsid w:val="008F5276"/>
    <w:rsid w:val="008F57EE"/>
    <w:rsid w:val="008F6B5F"/>
    <w:rsid w:val="008F772F"/>
    <w:rsid w:val="008F7760"/>
    <w:rsid w:val="008F7BC4"/>
    <w:rsid w:val="008F7C00"/>
    <w:rsid w:val="0090006B"/>
    <w:rsid w:val="00900E18"/>
    <w:rsid w:val="0090117E"/>
    <w:rsid w:val="00901D51"/>
    <w:rsid w:val="0090215A"/>
    <w:rsid w:val="009034C6"/>
    <w:rsid w:val="00903D92"/>
    <w:rsid w:val="00903FB5"/>
    <w:rsid w:val="00904429"/>
    <w:rsid w:val="00904E82"/>
    <w:rsid w:val="00905B6B"/>
    <w:rsid w:val="009062BE"/>
    <w:rsid w:val="009063C3"/>
    <w:rsid w:val="0090694A"/>
    <w:rsid w:val="009076C6"/>
    <w:rsid w:val="009078FC"/>
    <w:rsid w:val="00910869"/>
    <w:rsid w:val="00910B20"/>
    <w:rsid w:val="00910C9F"/>
    <w:rsid w:val="009111EB"/>
    <w:rsid w:val="00911A47"/>
    <w:rsid w:val="0091250A"/>
    <w:rsid w:val="00912B3F"/>
    <w:rsid w:val="009133EA"/>
    <w:rsid w:val="00913559"/>
    <w:rsid w:val="009135D6"/>
    <w:rsid w:val="00913B7E"/>
    <w:rsid w:val="0091511B"/>
    <w:rsid w:val="00916561"/>
    <w:rsid w:val="00917027"/>
    <w:rsid w:val="0091736E"/>
    <w:rsid w:val="009175A3"/>
    <w:rsid w:val="00917901"/>
    <w:rsid w:val="00917C5C"/>
    <w:rsid w:val="0092033A"/>
    <w:rsid w:val="00920C04"/>
    <w:rsid w:val="00920CE7"/>
    <w:rsid w:val="0092228F"/>
    <w:rsid w:val="00922816"/>
    <w:rsid w:val="0092293D"/>
    <w:rsid w:val="00922D14"/>
    <w:rsid w:val="00923488"/>
    <w:rsid w:val="00923B51"/>
    <w:rsid w:val="00923E0C"/>
    <w:rsid w:val="0092407F"/>
    <w:rsid w:val="00924C57"/>
    <w:rsid w:val="00925023"/>
    <w:rsid w:val="0092515F"/>
    <w:rsid w:val="009252D3"/>
    <w:rsid w:val="0092571D"/>
    <w:rsid w:val="009259BA"/>
    <w:rsid w:val="00927449"/>
    <w:rsid w:val="009275DC"/>
    <w:rsid w:val="0092793E"/>
    <w:rsid w:val="00930034"/>
    <w:rsid w:val="009303B4"/>
    <w:rsid w:val="00930B3D"/>
    <w:rsid w:val="009312F8"/>
    <w:rsid w:val="009314F1"/>
    <w:rsid w:val="00931D3E"/>
    <w:rsid w:val="00931F7D"/>
    <w:rsid w:val="00932352"/>
    <w:rsid w:val="0093279B"/>
    <w:rsid w:val="00932901"/>
    <w:rsid w:val="00933B20"/>
    <w:rsid w:val="00935BDA"/>
    <w:rsid w:val="00936D12"/>
    <w:rsid w:val="00937E88"/>
    <w:rsid w:val="00937F7E"/>
    <w:rsid w:val="00941ED0"/>
    <w:rsid w:val="009421FB"/>
    <w:rsid w:val="00942B44"/>
    <w:rsid w:val="0094317E"/>
    <w:rsid w:val="0094372F"/>
    <w:rsid w:val="00943DE6"/>
    <w:rsid w:val="00943FC2"/>
    <w:rsid w:val="00944AB5"/>
    <w:rsid w:val="00945B41"/>
    <w:rsid w:val="00946ADF"/>
    <w:rsid w:val="00950312"/>
    <w:rsid w:val="00952134"/>
    <w:rsid w:val="00952DC6"/>
    <w:rsid w:val="00953B52"/>
    <w:rsid w:val="00954035"/>
    <w:rsid w:val="0095416F"/>
    <w:rsid w:val="0095449F"/>
    <w:rsid w:val="00954607"/>
    <w:rsid w:val="009551BD"/>
    <w:rsid w:val="0095538F"/>
    <w:rsid w:val="00955659"/>
    <w:rsid w:val="00955AF6"/>
    <w:rsid w:val="009564A7"/>
    <w:rsid w:val="009568F0"/>
    <w:rsid w:val="00956C79"/>
    <w:rsid w:val="00957397"/>
    <w:rsid w:val="00957A0B"/>
    <w:rsid w:val="00957EC3"/>
    <w:rsid w:val="00960175"/>
    <w:rsid w:val="00960545"/>
    <w:rsid w:val="0096070E"/>
    <w:rsid w:val="00961634"/>
    <w:rsid w:val="00961850"/>
    <w:rsid w:val="00961953"/>
    <w:rsid w:val="009619B1"/>
    <w:rsid w:val="00961C06"/>
    <w:rsid w:val="009621D7"/>
    <w:rsid w:val="00962437"/>
    <w:rsid w:val="009627BC"/>
    <w:rsid w:val="00962A25"/>
    <w:rsid w:val="00962B0A"/>
    <w:rsid w:val="0096354A"/>
    <w:rsid w:val="00963EB5"/>
    <w:rsid w:val="009654D5"/>
    <w:rsid w:val="0096575E"/>
    <w:rsid w:val="00966104"/>
    <w:rsid w:val="009661B5"/>
    <w:rsid w:val="009663E7"/>
    <w:rsid w:val="009666A7"/>
    <w:rsid w:val="009673A4"/>
    <w:rsid w:val="009673C7"/>
    <w:rsid w:val="0097048D"/>
    <w:rsid w:val="00971D2B"/>
    <w:rsid w:val="00971EBE"/>
    <w:rsid w:val="00972718"/>
    <w:rsid w:val="0097292C"/>
    <w:rsid w:val="00972ACD"/>
    <w:rsid w:val="009735A4"/>
    <w:rsid w:val="009735AF"/>
    <w:rsid w:val="00973C43"/>
    <w:rsid w:val="00974626"/>
    <w:rsid w:val="00974A21"/>
    <w:rsid w:val="00974B8B"/>
    <w:rsid w:val="00976DCC"/>
    <w:rsid w:val="0097753A"/>
    <w:rsid w:val="00977987"/>
    <w:rsid w:val="00977BE7"/>
    <w:rsid w:val="00977E3C"/>
    <w:rsid w:val="0098068B"/>
    <w:rsid w:val="00981A5A"/>
    <w:rsid w:val="009821C9"/>
    <w:rsid w:val="009833D8"/>
    <w:rsid w:val="009837B2"/>
    <w:rsid w:val="00984757"/>
    <w:rsid w:val="0098483B"/>
    <w:rsid w:val="009849C2"/>
    <w:rsid w:val="00984A5F"/>
    <w:rsid w:val="00984ECC"/>
    <w:rsid w:val="00984ED7"/>
    <w:rsid w:val="00985327"/>
    <w:rsid w:val="009853DD"/>
    <w:rsid w:val="00985412"/>
    <w:rsid w:val="00985750"/>
    <w:rsid w:val="00985B25"/>
    <w:rsid w:val="00985D4E"/>
    <w:rsid w:val="00985D7C"/>
    <w:rsid w:val="00987336"/>
    <w:rsid w:val="0099099C"/>
    <w:rsid w:val="00990D47"/>
    <w:rsid w:val="00991064"/>
    <w:rsid w:val="00991698"/>
    <w:rsid w:val="00991919"/>
    <w:rsid w:val="00991A4B"/>
    <w:rsid w:val="00993EB5"/>
    <w:rsid w:val="00994DA0"/>
    <w:rsid w:val="00994EE7"/>
    <w:rsid w:val="009964BB"/>
    <w:rsid w:val="00996772"/>
    <w:rsid w:val="00996796"/>
    <w:rsid w:val="00996BD9"/>
    <w:rsid w:val="00997543"/>
    <w:rsid w:val="009975B6"/>
    <w:rsid w:val="009A0230"/>
    <w:rsid w:val="009A0875"/>
    <w:rsid w:val="009A135F"/>
    <w:rsid w:val="009A1471"/>
    <w:rsid w:val="009A1C94"/>
    <w:rsid w:val="009A2F32"/>
    <w:rsid w:val="009A3432"/>
    <w:rsid w:val="009A43F3"/>
    <w:rsid w:val="009A44F4"/>
    <w:rsid w:val="009A485C"/>
    <w:rsid w:val="009A4FAE"/>
    <w:rsid w:val="009A56EF"/>
    <w:rsid w:val="009A5E72"/>
    <w:rsid w:val="009A64A5"/>
    <w:rsid w:val="009A707D"/>
    <w:rsid w:val="009A7505"/>
    <w:rsid w:val="009A7982"/>
    <w:rsid w:val="009B072A"/>
    <w:rsid w:val="009B09C5"/>
    <w:rsid w:val="009B0A7F"/>
    <w:rsid w:val="009B0FEE"/>
    <w:rsid w:val="009B1ABE"/>
    <w:rsid w:val="009B207F"/>
    <w:rsid w:val="009B2C54"/>
    <w:rsid w:val="009B3C16"/>
    <w:rsid w:val="009B4266"/>
    <w:rsid w:val="009B479E"/>
    <w:rsid w:val="009B4CA5"/>
    <w:rsid w:val="009B4D61"/>
    <w:rsid w:val="009B4E42"/>
    <w:rsid w:val="009B61AF"/>
    <w:rsid w:val="009B6849"/>
    <w:rsid w:val="009B770F"/>
    <w:rsid w:val="009B7E27"/>
    <w:rsid w:val="009B7E4A"/>
    <w:rsid w:val="009C02E6"/>
    <w:rsid w:val="009C0BBC"/>
    <w:rsid w:val="009C0D7C"/>
    <w:rsid w:val="009C1F54"/>
    <w:rsid w:val="009C21BA"/>
    <w:rsid w:val="009C21BF"/>
    <w:rsid w:val="009C234A"/>
    <w:rsid w:val="009C2556"/>
    <w:rsid w:val="009C2911"/>
    <w:rsid w:val="009C2B41"/>
    <w:rsid w:val="009C2E5D"/>
    <w:rsid w:val="009C34AF"/>
    <w:rsid w:val="009C39CA"/>
    <w:rsid w:val="009C39D7"/>
    <w:rsid w:val="009C3CE0"/>
    <w:rsid w:val="009C4D21"/>
    <w:rsid w:val="009C551F"/>
    <w:rsid w:val="009C5C71"/>
    <w:rsid w:val="009C602B"/>
    <w:rsid w:val="009C62CC"/>
    <w:rsid w:val="009C64F6"/>
    <w:rsid w:val="009C6E5F"/>
    <w:rsid w:val="009C745B"/>
    <w:rsid w:val="009C793F"/>
    <w:rsid w:val="009C7BF0"/>
    <w:rsid w:val="009D034E"/>
    <w:rsid w:val="009D0485"/>
    <w:rsid w:val="009D139A"/>
    <w:rsid w:val="009D171F"/>
    <w:rsid w:val="009D176B"/>
    <w:rsid w:val="009D1B23"/>
    <w:rsid w:val="009D4ABE"/>
    <w:rsid w:val="009D570D"/>
    <w:rsid w:val="009D5B5C"/>
    <w:rsid w:val="009D5E49"/>
    <w:rsid w:val="009D6E49"/>
    <w:rsid w:val="009D7455"/>
    <w:rsid w:val="009D769A"/>
    <w:rsid w:val="009D7C2E"/>
    <w:rsid w:val="009D7F16"/>
    <w:rsid w:val="009E02F5"/>
    <w:rsid w:val="009E064C"/>
    <w:rsid w:val="009E0C27"/>
    <w:rsid w:val="009E0D8B"/>
    <w:rsid w:val="009E11E8"/>
    <w:rsid w:val="009E13AC"/>
    <w:rsid w:val="009E276E"/>
    <w:rsid w:val="009E33F3"/>
    <w:rsid w:val="009E3D4E"/>
    <w:rsid w:val="009E40AF"/>
    <w:rsid w:val="009E4292"/>
    <w:rsid w:val="009E5177"/>
    <w:rsid w:val="009E5719"/>
    <w:rsid w:val="009E578C"/>
    <w:rsid w:val="009E74F4"/>
    <w:rsid w:val="009F000B"/>
    <w:rsid w:val="009F0A13"/>
    <w:rsid w:val="009F21FF"/>
    <w:rsid w:val="009F28DC"/>
    <w:rsid w:val="009F3185"/>
    <w:rsid w:val="009F3914"/>
    <w:rsid w:val="009F3A26"/>
    <w:rsid w:val="009F3BDF"/>
    <w:rsid w:val="009F443F"/>
    <w:rsid w:val="009F4812"/>
    <w:rsid w:val="009F4863"/>
    <w:rsid w:val="009F490D"/>
    <w:rsid w:val="009F4B9F"/>
    <w:rsid w:val="009F544F"/>
    <w:rsid w:val="009F58CC"/>
    <w:rsid w:val="009F58CE"/>
    <w:rsid w:val="009F65E2"/>
    <w:rsid w:val="009F70A9"/>
    <w:rsid w:val="009F7B59"/>
    <w:rsid w:val="00A00DC9"/>
    <w:rsid w:val="00A00E9C"/>
    <w:rsid w:val="00A01053"/>
    <w:rsid w:val="00A020E2"/>
    <w:rsid w:val="00A03A87"/>
    <w:rsid w:val="00A044F3"/>
    <w:rsid w:val="00A04C02"/>
    <w:rsid w:val="00A058E2"/>
    <w:rsid w:val="00A05973"/>
    <w:rsid w:val="00A05A0B"/>
    <w:rsid w:val="00A05AC4"/>
    <w:rsid w:val="00A06980"/>
    <w:rsid w:val="00A10933"/>
    <w:rsid w:val="00A11782"/>
    <w:rsid w:val="00A12F39"/>
    <w:rsid w:val="00A1338E"/>
    <w:rsid w:val="00A143C7"/>
    <w:rsid w:val="00A14CA7"/>
    <w:rsid w:val="00A14FF8"/>
    <w:rsid w:val="00A155EF"/>
    <w:rsid w:val="00A15AEB"/>
    <w:rsid w:val="00A15D9F"/>
    <w:rsid w:val="00A16164"/>
    <w:rsid w:val="00A162E9"/>
    <w:rsid w:val="00A16743"/>
    <w:rsid w:val="00A16C16"/>
    <w:rsid w:val="00A20023"/>
    <w:rsid w:val="00A20578"/>
    <w:rsid w:val="00A217D7"/>
    <w:rsid w:val="00A21CA6"/>
    <w:rsid w:val="00A22443"/>
    <w:rsid w:val="00A22755"/>
    <w:rsid w:val="00A23748"/>
    <w:rsid w:val="00A23D88"/>
    <w:rsid w:val="00A24023"/>
    <w:rsid w:val="00A2423A"/>
    <w:rsid w:val="00A246C5"/>
    <w:rsid w:val="00A24D25"/>
    <w:rsid w:val="00A24EC4"/>
    <w:rsid w:val="00A24F2D"/>
    <w:rsid w:val="00A24F40"/>
    <w:rsid w:val="00A25186"/>
    <w:rsid w:val="00A25296"/>
    <w:rsid w:val="00A258F4"/>
    <w:rsid w:val="00A25B96"/>
    <w:rsid w:val="00A26661"/>
    <w:rsid w:val="00A266F7"/>
    <w:rsid w:val="00A26982"/>
    <w:rsid w:val="00A26EF6"/>
    <w:rsid w:val="00A27335"/>
    <w:rsid w:val="00A27F00"/>
    <w:rsid w:val="00A32B7B"/>
    <w:rsid w:val="00A346C2"/>
    <w:rsid w:val="00A34F85"/>
    <w:rsid w:val="00A3563A"/>
    <w:rsid w:val="00A3697B"/>
    <w:rsid w:val="00A36C30"/>
    <w:rsid w:val="00A37419"/>
    <w:rsid w:val="00A37DC2"/>
    <w:rsid w:val="00A401FB"/>
    <w:rsid w:val="00A40405"/>
    <w:rsid w:val="00A40DB2"/>
    <w:rsid w:val="00A41071"/>
    <w:rsid w:val="00A42490"/>
    <w:rsid w:val="00A42FD2"/>
    <w:rsid w:val="00A43CC4"/>
    <w:rsid w:val="00A43D44"/>
    <w:rsid w:val="00A4406D"/>
    <w:rsid w:val="00A447E1"/>
    <w:rsid w:val="00A44908"/>
    <w:rsid w:val="00A44C9C"/>
    <w:rsid w:val="00A44F6E"/>
    <w:rsid w:val="00A45DB5"/>
    <w:rsid w:val="00A46F0B"/>
    <w:rsid w:val="00A46FAA"/>
    <w:rsid w:val="00A477E7"/>
    <w:rsid w:val="00A50BF6"/>
    <w:rsid w:val="00A50E61"/>
    <w:rsid w:val="00A51947"/>
    <w:rsid w:val="00A519FB"/>
    <w:rsid w:val="00A525B6"/>
    <w:rsid w:val="00A52F77"/>
    <w:rsid w:val="00A533AF"/>
    <w:rsid w:val="00A53418"/>
    <w:rsid w:val="00A54245"/>
    <w:rsid w:val="00A54494"/>
    <w:rsid w:val="00A54701"/>
    <w:rsid w:val="00A5481C"/>
    <w:rsid w:val="00A54E1F"/>
    <w:rsid w:val="00A552FE"/>
    <w:rsid w:val="00A5604A"/>
    <w:rsid w:val="00A56114"/>
    <w:rsid w:val="00A57650"/>
    <w:rsid w:val="00A607B9"/>
    <w:rsid w:val="00A60806"/>
    <w:rsid w:val="00A6081A"/>
    <w:rsid w:val="00A61360"/>
    <w:rsid w:val="00A617A1"/>
    <w:rsid w:val="00A6370E"/>
    <w:rsid w:val="00A6412B"/>
    <w:rsid w:val="00A64A36"/>
    <w:rsid w:val="00A65009"/>
    <w:rsid w:val="00A663C5"/>
    <w:rsid w:val="00A66D54"/>
    <w:rsid w:val="00A67385"/>
    <w:rsid w:val="00A67D41"/>
    <w:rsid w:val="00A67E6E"/>
    <w:rsid w:val="00A707D0"/>
    <w:rsid w:val="00A711BC"/>
    <w:rsid w:val="00A718B4"/>
    <w:rsid w:val="00A72519"/>
    <w:rsid w:val="00A72706"/>
    <w:rsid w:val="00A72A6A"/>
    <w:rsid w:val="00A72A8F"/>
    <w:rsid w:val="00A72C92"/>
    <w:rsid w:val="00A73281"/>
    <w:rsid w:val="00A733F0"/>
    <w:rsid w:val="00A74565"/>
    <w:rsid w:val="00A74DA4"/>
    <w:rsid w:val="00A75602"/>
    <w:rsid w:val="00A759F1"/>
    <w:rsid w:val="00A75A8C"/>
    <w:rsid w:val="00A75DE3"/>
    <w:rsid w:val="00A775F0"/>
    <w:rsid w:val="00A80087"/>
    <w:rsid w:val="00A80914"/>
    <w:rsid w:val="00A80CA8"/>
    <w:rsid w:val="00A81674"/>
    <w:rsid w:val="00A81A50"/>
    <w:rsid w:val="00A81B28"/>
    <w:rsid w:val="00A81E8E"/>
    <w:rsid w:val="00A82646"/>
    <w:rsid w:val="00A82B9E"/>
    <w:rsid w:val="00A831CB"/>
    <w:rsid w:val="00A842DF"/>
    <w:rsid w:val="00A84E2D"/>
    <w:rsid w:val="00A852CE"/>
    <w:rsid w:val="00A85340"/>
    <w:rsid w:val="00A8599D"/>
    <w:rsid w:val="00A85A51"/>
    <w:rsid w:val="00A86244"/>
    <w:rsid w:val="00A86397"/>
    <w:rsid w:val="00A8686F"/>
    <w:rsid w:val="00A86B20"/>
    <w:rsid w:val="00A870D0"/>
    <w:rsid w:val="00A874D9"/>
    <w:rsid w:val="00A87FAA"/>
    <w:rsid w:val="00A9065D"/>
    <w:rsid w:val="00A90E47"/>
    <w:rsid w:val="00A90E58"/>
    <w:rsid w:val="00A90EB0"/>
    <w:rsid w:val="00A91320"/>
    <w:rsid w:val="00A91631"/>
    <w:rsid w:val="00A921BB"/>
    <w:rsid w:val="00A93CCA"/>
    <w:rsid w:val="00A9440E"/>
    <w:rsid w:val="00A945E5"/>
    <w:rsid w:val="00A959D5"/>
    <w:rsid w:val="00A96689"/>
    <w:rsid w:val="00A9673E"/>
    <w:rsid w:val="00A96E39"/>
    <w:rsid w:val="00A96E6A"/>
    <w:rsid w:val="00AA0157"/>
    <w:rsid w:val="00AA0229"/>
    <w:rsid w:val="00AA03C7"/>
    <w:rsid w:val="00AA0C2E"/>
    <w:rsid w:val="00AA0E49"/>
    <w:rsid w:val="00AA100E"/>
    <w:rsid w:val="00AA11CC"/>
    <w:rsid w:val="00AA1C1F"/>
    <w:rsid w:val="00AA1FB8"/>
    <w:rsid w:val="00AA202D"/>
    <w:rsid w:val="00AA32B8"/>
    <w:rsid w:val="00AA56EE"/>
    <w:rsid w:val="00AA5C09"/>
    <w:rsid w:val="00AA60CE"/>
    <w:rsid w:val="00AA7012"/>
    <w:rsid w:val="00AA7320"/>
    <w:rsid w:val="00AB01D3"/>
    <w:rsid w:val="00AB13A0"/>
    <w:rsid w:val="00AB1ED5"/>
    <w:rsid w:val="00AB20DE"/>
    <w:rsid w:val="00AB346D"/>
    <w:rsid w:val="00AB3D2E"/>
    <w:rsid w:val="00AB44BD"/>
    <w:rsid w:val="00AB52B2"/>
    <w:rsid w:val="00AB592F"/>
    <w:rsid w:val="00AB5E67"/>
    <w:rsid w:val="00AB5FE9"/>
    <w:rsid w:val="00AB615F"/>
    <w:rsid w:val="00AB6409"/>
    <w:rsid w:val="00AB643E"/>
    <w:rsid w:val="00AB69AA"/>
    <w:rsid w:val="00AB738D"/>
    <w:rsid w:val="00AB7BA2"/>
    <w:rsid w:val="00AB7E78"/>
    <w:rsid w:val="00AC0121"/>
    <w:rsid w:val="00AC01BC"/>
    <w:rsid w:val="00AC1506"/>
    <w:rsid w:val="00AC21E4"/>
    <w:rsid w:val="00AC2639"/>
    <w:rsid w:val="00AC264F"/>
    <w:rsid w:val="00AC2EA5"/>
    <w:rsid w:val="00AC3849"/>
    <w:rsid w:val="00AC39A5"/>
    <w:rsid w:val="00AC3C92"/>
    <w:rsid w:val="00AC45C7"/>
    <w:rsid w:val="00AC4B9A"/>
    <w:rsid w:val="00AC5874"/>
    <w:rsid w:val="00AC644D"/>
    <w:rsid w:val="00AC6899"/>
    <w:rsid w:val="00AC6DE0"/>
    <w:rsid w:val="00AC6E57"/>
    <w:rsid w:val="00AD0082"/>
    <w:rsid w:val="00AD067F"/>
    <w:rsid w:val="00AD0810"/>
    <w:rsid w:val="00AD0C8D"/>
    <w:rsid w:val="00AD0F27"/>
    <w:rsid w:val="00AD33D4"/>
    <w:rsid w:val="00AD37E5"/>
    <w:rsid w:val="00AD458F"/>
    <w:rsid w:val="00AD4719"/>
    <w:rsid w:val="00AD4A33"/>
    <w:rsid w:val="00AD4CB1"/>
    <w:rsid w:val="00AD4D6D"/>
    <w:rsid w:val="00AD543B"/>
    <w:rsid w:val="00AD56C2"/>
    <w:rsid w:val="00AD5BDA"/>
    <w:rsid w:val="00AD6572"/>
    <w:rsid w:val="00AD695C"/>
    <w:rsid w:val="00AD6E9A"/>
    <w:rsid w:val="00AD7B47"/>
    <w:rsid w:val="00AE00A2"/>
    <w:rsid w:val="00AE2F2F"/>
    <w:rsid w:val="00AE315C"/>
    <w:rsid w:val="00AE37AD"/>
    <w:rsid w:val="00AE3BB3"/>
    <w:rsid w:val="00AE440E"/>
    <w:rsid w:val="00AE49D5"/>
    <w:rsid w:val="00AE62F4"/>
    <w:rsid w:val="00AE6569"/>
    <w:rsid w:val="00AE65C5"/>
    <w:rsid w:val="00AE6F9D"/>
    <w:rsid w:val="00AE6FB2"/>
    <w:rsid w:val="00AF1052"/>
    <w:rsid w:val="00AF1F85"/>
    <w:rsid w:val="00AF2546"/>
    <w:rsid w:val="00AF2B4E"/>
    <w:rsid w:val="00AF35F4"/>
    <w:rsid w:val="00AF4618"/>
    <w:rsid w:val="00AF4AE7"/>
    <w:rsid w:val="00AF4F3E"/>
    <w:rsid w:val="00AF52B1"/>
    <w:rsid w:val="00AF6693"/>
    <w:rsid w:val="00AF70E9"/>
    <w:rsid w:val="00AF72E5"/>
    <w:rsid w:val="00AF73A2"/>
    <w:rsid w:val="00AF75E5"/>
    <w:rsid w:val="00AF7CC4"/>
    <w:rsid w:val="00B00F63"/>
    <w:rsid w:val="00B01C6B"/>
    <w:rsid w:val="00B022AF"/>
    <w:rsid w:val="00B033D0"/>
    <w:rsid w:val="00B03AE5"/>
    <w:rsid w:val="00B045A9"/>
    <w:rsid w:val="00B045D6"/>
    <w:rsid w:val="00B054C6"/>
    <w:rsid w:val="00B0551C"/>
    <w:rsid w:val="00B05F30"/>
    <w:rsid w:val="00B06394"/>
    <w:rsid w:val="00B0755C"/>
    <w:rsid w:val="00B07EAE"/>
    <w:rsid w:val="00B1077D"/>
    <w:rsid w:val="00B10811"/>
    <w:rsid w:val="00B11423"/>
    <w:rsid w:val="00B12D75"/>
    <w:rsid w:val="00B13E18"/>
    <w:rsid w:val="00B14537"/>
    <w:rsid w:val="00B1487F"/>
    <w:rsid w:val="00B1620D"/>
    <w:rsid w:val="00B17327"/>
    <w:rsid w:val="00B201D3"/>
    <w:rsid w:val="00B204A5"/>
    <w:rsid w:val="00B20722"/>
    <w:rsid w:val="00B2083B"/>
    <w:rsid w:val="00B20F9F"/>
    <w:rsid w:val="00B21A3A"/>
    <w:rsid w:val="00B21B4C"/>
    <w:rsid w:val="00B21CD4"/>
    <w:rsid w:val="00B2217D"/>
    <w:rsid w:val="00B2225A"/>
    <w:rsid w:val="00B23003"/>
    <w:rsid w:val="00B23535"/>
    <w:rsid w:val="00B2395D"/>
    <w:rsid w:val="00B252E6"/>
    <w:rsid w:val="00B2616C"/>
    <w:rsid w:val="00B26763"/>
    <w:rsid w:val="00B2756A"/>
    <w:rsid w:val="00B27BC7"/>
    <w:rsid w:val="00B304F3"/>
    <w:rsid w:val="00B30A97"/>
    <w:rsid w:val="00B30BE1"/>
    <w:rsid w:val="00B30FA2"/>
    <w:rsid w:val="00B311F7"/>
    <w:rsid w:val="00B31327"/>
    <w:rsid w:val="00B335A3"/>
    <w:rsid w:val="00B354FB"/>
    <w:rsid w:val="00B3605C"/>
    <w:rsid w:val="00B3710D"/>
    <w:rsid w:val="00B37FD3"/>
    <w:rsid w:val="00B40FD8"/>
    <w:rsid w:val="00B4230B"/>
    <w:rsid w:val="00B4274D"/>
    <w:rsid w:val="00B435E7"/>
    <w:rsid w:val="00B4394B"/>
    <w:rsid w:val="00B445A4"/>
    <w:rsid w:val="00B459F6"/>
    <w:rsid w:val="00B45A0C"/>
    <w:rsid w:val="00B45DB9"/>
    <w:rsid w:val="00B46A75"/>
    <w:rsid w:val="00B47047"/>
    <w:rsid w:val="00B47360"/>
    <w:rsid w:val="00B474DB"/>
    <w:rsid w:val="00B475B6"/>
    <w:rsid w:val="00B47610"/>
    <w:rsid w:val="00B47FC4"/>
    <w:rsid w:val="00B50681"/>
    <w:rsid w:val="00B50AF5"/>
    <w:rsid w:val="00B50D09"/>
    <w:rsid w:val="00B50E45"/>
    <w:rsid w:val="00B50FE6"/>
    <w:rsid w:val="00B51371"/>
    <w:rsid w:val="00B5147F"/>
    <w:rsid w:val="00B51DF4"/>
    <w:rsid w:val="00B539B4"/>
    <w:rsid w:val="00B542CF"/>
    <w:rsid w:val="00B548D0"/>
    <w:rsid w:val="00B5492C"/>
    <w:rsid w:val="00B554CE"/>
    <w:rsid w:val="00B569C3"/>
    <w:rsid w:val="00B569E9"/>
    <w:rsid w:val="00B572FE"/>
    <w:rsid w:val="00B57421"/>
    <w:rsid w:val="00B57C32"/>
    <w:rsid w:val="00B60F4A"/>
    <w:rsid w:val="00B61259"/>
    <w:rsid w:val="00B61400"/>
    <w:rsid w:val="00B616D7"/>
    <w:rsid w:val="00B61BC9"/>
    <w:rsid w:val="00B62A28"/>
    <w:rsid w:val="00B62B31"/>
    <w:rsid w:val="00B62C29"/>
    <w:rsid w:val="00B62C35"/>
    <w:rsid w:val="00B639B6"/>
    <w:rsid w:val="00B63ED8"/>
    <w:rsid w:val="00B64C68"/>
    <w:rsid w:val="00B650EF"/>
    <w:rsid w:val="00B6552C"/>
    <w:rsid w:val="00B65661"/>
    <w:rsid w:val="00B65AEC"/>
    <w:rsid w:val="00B65F5E"/>
    <w:rsid w:val="00B66490"/>
    <w:rsid w:val="00B66BA5"/>
    <w:rsid w:val="00B70774"/>
    <w:rsid w:val="00B70A98"/>
    <w:rsid w:val="00B71D75"/>
    <w:rsid w:val="00B7235D"/>
    <w:rsid w:val="00B73063"/>
    <w:rsid w:val="00B7315B"/>
    <w:rsid w:val="00B7404E"/>
    <w:rsid w:val="00B7503C"/>
    <w:rsid w:val="00B75448"/>
    <w:rsid w:val="00B754A9"/>
    <w:rsid w:val="00B75DDB"/>
    <w:rsid w:val="00B761F0"/>
    <w:rsid w:val="00B76273"/>
    <w:rsid w:val="00B77098"/>
    <w:rsid w:val="00B77939"/>
    <w:rsid w:val="00B77BF9"/>
    <w:rsid w:val="00B77F00"/>
    <w:rsid w:val="00B801A1"/>
    <w:rsid w:val="00B801E8"/>
    <w:rsid w:val="00B808CA"/>
    <w:rsid w:val="00B80B05"/>
    <w:rsid w:val="00B80F06"/>
    <w:rsid w:val="00B813BB"/>
    <w:rsid w:val="00B818EB"/>
    <w:rsid w:val="00B81CCA"/>
    <w:rsid w:val="00B81EC5"/>
    <w:rsid w:val="00B82678"/>
    <w:rsid w:val="00B8289F"/>
    <w:rsid w:val="00B836A3"/>
    <w:rsid w:val="00B837DC"/>
    <w:rsid w:val="00B843EB"/>
    <w:rsid w:val="00B84B90"/>
    <w:rsid w:val="00B85DD9"/>
    <w:rsid w:val="00B86435"/>
    <w:rsid w:val="00B86715"/>
    <w:rsid w:val="00B90098"/>
    <w:rsid w:val="00B927A9"/>
    <w:rsid w:val="00B92DBE"/>
    <w:rsid w:val="00B930FA"/>
    <w:rsid w:val="00B93890"/>
    <w:rsid w:val="00B94A7D"/>
    <w:rsid w:val="00B95A4A"/>
    <w:rsid w:val="00B95D11"/>
    <w:rsid w:val="00B97FF7"/>
    <w:rsid w:val="00BA06FB"/>
    <w:rsid w:val="00BA095F"/>
    <w:rsid w:val="00BA0E58"/>
    <w:rsid w:val="00BA0F9B"/>
    <w:rsid w:val="00BA11AD"/>
    <w:rsid w:val="00BA132E"/>
    <w:rsid w:val="00BA17F5"/>
    <w:rsid w:val="00BA1BA6"/>
    <w:rsid w:val="00BA26D9"/>
    <w:rsid w:val="00BA39CA"/>
    <w:rsid w:val="00BA3A5B"/>
    <w:rsid w:val="00BA3B1A"/>
    <w:rsid w:val="00BA3C08"/>
    <w:rsid w:val="00BA4D58"/>
    <w:rsid w:val="00BA51FA"/>
    <w:rsid w:val="00BA54F8"/>
    <w:rsid w:val="00BA57FB"/>
    <w:rsid w:val="00BA5CA8"/>
    <w:rsid w:val="00BA6BAC"/>
    <w:rsid w:val="00BA6DC7"/>
    <w:rsid w:val="00BA73CD"/>
    <w:rsid w:val="00BA7A2D"/>
    <w:rsid w:val="00BB0B76"/>
    <w:rsid w:val="00BB0EF5"/>
    <w:rsid w:val="00BB1915"/>
    <w:rsid w:val="00BB19AB"/>
    <w:rsid w:val="00BB2073"/>
    <w:rsid w:val="00BB2909"/>
    <w:rsid w:val="00BB2A16"/>
    <w:rsid w:val="00BB2D18"/>
    <w:rsid w:val="00BB2D75"/>
    <w:rsid w:val="00BB2F58"/>
    <w:rsid w:val="00BB33B7"/>
    <w:rsid w:val="00BB354E"/>
    <w:rsid w:val="00BB517A"/>
    <w:rsid w:val="00BB55F5"/>
    <w:rsid w:val="00BB5924"/>
    <w:rsid w:val="00BB5978"/>
    <w:rsid w:val="00BB5A84"/>
    <w:rsid w:val="00BB62E1"/>
    <w:rsid w:val="00BB6C4F"/>
    <w:rsid w:val="00BB6D58"/>
    <w:rsid w:val="00BC01B9"/>
    <w:rsid w:val="00BC0DCB"/>
    <w:rsid w:val="00BC11A1"/>
    <w:rsid w:val="00BC24B8"/>
    <w:rsid w:val="00BC279C"/>
    <w:rsid w:val="00BC2831"/>
    <w:rsid w:val="00BC30DF"/>
    <w:rsid w:val="00BC34C0"/>
    <w:rsid w:val="00BC3625"/>
    <w:rsid w:val="00BC3BF7"/>
    <w:rsid w:val="00BC4210"/>
    <w:rsid w:val="00BC44D5"/>
    <w:rsid w:val="00BC46C6"/>
    <w:rsid w:val="00BC4811"/>
    <w:rsid w:val="00BC48EA"/>
    <w:rsid w:val="00BC492F"/>
    <w:rsid w:val="00BC4A2E"/>
    <w:rsid w:val="00BC50A6"/>
    <w:rsid w:val="00BC5A3C"/>
    <w:rsid w:val="00BC5C19"/>
    <w:rsid w:val="00BC5E5F"/>
    <w:rsid w:val="00BC655D"/>
    <w:rsid w:val="00BC697A"/>
    <w:rsid w:val="00BC6F93"/>
    <w:rsid w:val="00BC7356"/>
    <w:rsid w:val="00BC79CB"/>
    <w:rsid w:val="00BD029F"/>
    <w:rsid w:val="00BD0BF7"/>
    <w:rsid w:val="00BD0FE2"/>
    <w:rsid w:val="00BD1C5B"/>
    <w:rsid w:val="00BD232B"/>
    <w:rsid w:val="00BD2FF4"/>
    <w:rsid w:val="00BD3FCD"/>
    <w:rsid w:val="00BD40BC"/>
    <w:rsid w:val="00BD4A9C"/>
    <w:rsid w:val="00BD4D7B"/>
    <w:rsid w:val="00BD54E7"/>
    <w:rsid w:val="00BD56B6"/>
    <w:rsid w:val="00BD5855"/>
    <w:rsid w:val="00BD5968"/>
    <w:rsid w:val="00BD6408"/>
    <w:rsid w:val="00BD6585"/>
    <w:rsid w:val="00BD7007"/>
    <w:rsid w:val="00BD71DC"/>
    <w:rsid w:val="00BD770E"/>
    <w:rsid w:val="00BD7AB2"/>
    <w:rsid w:val="00BD7B07"/>
    <w:rsid w:val="00BE1183"/>
    <w:rsid w:val="00BE13F9"/>
    <w:rsid w:val="00BE1836"/>
    <w:rsid w:val="00BE1C37"/>
    <w:rsid w:val="00BE1DD4"/>
    <w:rsid w:val="00BE1F62"/>
    <w:rsid w:val="00BE2746"/>
    <w:rsid w:val="00BE31ED"/>
    <w:rsid w:val="00BE35B2"/>
    <w:rsid w:val="00BE3913"/>
    <w:rsid w:val="00BE546F"/>
    <w:rsid w:val="00BE56C3"/>
    <w:rsid w:val="00BE5FA5"/>
    <w:rsid w:val="00BE628A"/>
    <w:rsid w:val="00BE6C14"/>
    <w:rsid w:val="00BE6DB8"/>
    <w:rsid w:val="00BE749B"/>
    <w:rsid w:val="00BE7C94"/>
    <w:rsid w:val="00BF1A44"/>
    <w:rsid w:val="00BF1F37"/>
    <w:rsid w:val="00BF230D"/>
    <w:rsid w:val="00BF25BD"/>
    <w:rsid w:val="00BF28C6"/>
    <w:rsid w:val="00BF3722"/>
    <w:rsid w:val="00BF3987"/>
    <w:rsid w:val="00BF535C"/>
    <w:rsid w:val="00BF5954"/>
    <w:rsid w:val="00BF62B1"/>
    <w:rsid w:val="00BF6637"/>
    <w:rsid w:val="00C0018F"/>
    <w:rsid w:val="00C00830"/>
    <w:rsid w:val="00C01155"/>
    <w:rsid w:val="00C03328"/>
    <w:rsid w:val="00C03386"/>
    <w:rsid w:val="00C038C4"/>
    <w:rsid w:val="00C03C42"/>
    <w:rsid w:val="00C03F60"/>
    <w:rsid w:val="00C042F1"/>
    <w:rsid w:val="00C049C8"/>
    <w:rsid w:val="00C0561E"/>
    <w:rsid w:val="00C060A4"/>
    <w:rsid w:val="00C06546"/>
    <w:rsid w:val="00C06F54"/>
    <w:rsid w:val="00C105CA"/>
    <w:rsid w:val="00C110C3"/>
    <w:rsid w:val="00C114C0"/>
    <w:rsid w:val="00C11500"/>
    <w:rsid w:val="00C11713"/>
    <w:rsid w:val="00C11E8C"/>
    <w:rsid w:val="00C11FC3"/>
    <w:rsid w:val="00C1283B"/>
    <w:rsid w:val="00C12990"/>
    <w:rsid w:val="00C135BD"/>
    <w:rsid w:val="00C139AC"/>
    <w:rsid w:val="00C13BB9"/>
    <w:rsid w:val="00C13CEF"/>
    <w:rsid w:val="00C1422B"/>
    <w:rsid w:val="00C153E0"/>
    <w:rsid w:val="00C15493"/>
    <w:rsid w:val="00C15E54"/>
    <w:rsid w:val="00C16A23"/>
    <w:rsid w:val="00C17472"/>
    <w:rsid w:val="00C2015A"/>
    <w:rsid w:val="00C204E2"/>
    <w:rsid w:val="00C21B62"/>
    <w:rsid w:val="00C21EC0"/>
    <w:rsid w:val="00C2332E"/>
    <w:rsid w:val="00C244C3"/>
    <w:rsid w:val="00C2459E"/>
    <w:rsid w:val="00C245D8"/>
    <w:rsid w:val="00C24627"/>
    <w:rsid w:val="00C248CC"/>
    <w:rsid w:val="00C24D5F"/>
    <w:rsid w:val="00C24F14"/>
    <w:rsid w:val="00C25026"/>
    <w:rsid w:val="00C25954"/>
    <w:rsid w:val="00C25D82"/>
    <w:rsid w:val="00C26360"/>
    <w:rsid w:val="00C27BD1"/>
    <w:rsid w:val="00C27CB0"/>
    <w:rsid w:val="00C27F12"/>
    <w:rsid w:val="00C301C8"/>
    <w:rsid w:val="00C30647"/>
    <w:rsid w:val="00C30BBA"/>
    <w:rsid w:val="00C30E11"/>
    <w:rsid w:val="00C310A6"/>
    <w:rsid w:val="00C31442"/>
    <w:rsid w:val="00C319BB"/>
    <w:rsid w:val="00C31BA7"/>
    <w:rsid w:val="00C31BD9"/>
    <w:rsid w:val="00C322B4"/>
    <w:rsid w:val="00C3297C"/>
    <w:rsid w:val="00C33020"/>
    <w:rsid w:val="00C334FB"/>
    <w:rsid w:val="00C339D9"/>
    <w:rsid w:val="00C34A03"/>
    <w:rsid w:val="00C357F9"/>
    <w:rsid w:val="00C35F85"/>
    <w:rsid w:val="00C36327"/>
    <w:rsid w:val="00C36640"/>
    <w:rsid w:val="00C366F5"/>
    <w:rsid w:val="00C36A4A"/>
    <w:rsid w:val="00C36C45"/>
    <w:rsid w:val="00C37358"/>
    <w:rsid w:val="00C376A5"/>
    <w:rsid w:val="00C37A23"/>
    <w:rsid w:val="00C37BF2"/>
    <w:rsid w:val="00C400B2"/>
    <w:rsid w:val="00C4059B"/>
    <w:rsid w:val="00C408ED"/>
    <w:rsid w:val="00C41339"/>
    <w:rsid w:val="00C4186C"/>
    <w:rsid w:val="00C42A1B"/>
    <w:rsid w:val="00C42B23"/>
    <w:rsid w:val="00C431E5"/>
    <w:rsid w:val="00C4407E"/>
    <w:rsid w:val="00C44114"/>
    <w:rsid w:val="00C441DC"/>
    <w:rsid w:val="00C4498E"/>
    <w:rsid w:val="00C44DDC"/>
    <w:rsid w:val="00C453FC"/>
    <w:rsid w:val="00C45C0A"/>
    <w:rsid w:val="00C4630D"/>
    <w:rsid w:val="00C46C58"/>
    <w:rsid w:val="00C47785"/>
    <w:rsid w:val="00C47FC2"/>
    <w:rsid w:val="00C50414"/>
    <w:rsid w:val="00C50577"/>
    <w:rsid w:val="00C50891"/>
    <w:rsid w:val="00C50B5D"/>
    <w:rsid w:val="00C5111D"/>
    <w:rsid w:val="00C51954"/>
    <w:rsid w:val="00C51BF5"/>
    <w:rsid w:val="00C5476F"/>
    <w:rsid w:val="00C55BCE"/>
    <w:rsid w:val="00C56008"/>
    <w:rsid w:val="00C56688"/>
    <w:rsid w:val="00C5671C"/>
    <w:rsid w:val="00C569ED"/>
    <w:rsid w:val="00C56D79"/>
    <w:rsid w:val="00C56F80"/>
    <w:rsid w:val="00C57249"/>
    <w:rsid w:val="00C572F5"/>
    <w:rsid w:val="00C5753A"/>
    <w:rsid w:val="00C57558"/>
    <w:rsid w:val="00C57A55"/>
    <w:rsid w:val="00C57E0F"/>
    <w:rsid w:val="00C57FF5"/>
    <w:rsid w:val="00C60B17"/>
    <w:rsid w:val="00C60CB3"/>
    <w:rsid w:val="00C61388"/>
    <w:rsid w:val="00C616B2"/>
    <w:rsid w:val="00C61758"/>
    <w:rsid w:val="00C63B38"/>
    <w:rsid w:val="00C63C08"/>
    <w:rsid w:val="00C63CC6"/>
    <w:rsid w:val="00C64C61"/>
    <w:rsid w:val="00C65DA8"/>
    <w:rsid w:val="00C66104"/>
    <w:rsid w:val="00C668D4"/>
    <w:rsid w:val="00C669DC"/>
    <w:rsid w:val="00C67281"/>
    <w:rsid w:val="00C67391"/>
    <w:rsid w:val="00C7066B"/>
    <w:rsid w:val="00C70C52"/>
    <w:rsid w:val="00C717C0"/>
    <w:rsid w:val="00C7188C"/>
    <w:rsid w:val="00C71B29"/>
    <w:rsid w:val="00C71B80"/>
    <w:rsid w:val="00C71D5C"/>
    <w:rsid w:val="00C73505"/>
    <w:rsid w:val="00C73A93"/>
    <w:rsid w:val="00C73C43"/>
    <w:rsid w:val="00C73EBB"/>
    <w:rsid w:val="00C746D0"/>
    <w:rsid w:val="00C7496B"/>
    <w:rsid w:val="00C74D2F"/>
    <w:rsid w:val="00C76328"/>
    <w:rsid w:val="00C76397"/>
    <w:rsid w:val="00C77712"/>
    <w:rsid w:val="00C80097"/>
    <w:rsid w:val="00C80251"/>
    <w:rsid w:val="00C80680"/>
    <w:rsid w:val="00C80B2A"/>
    <w:rsid w:val="00C82426"/>
    <w:rsid w:val="00C824A8"/>
    <w:rsid w:val="00C82F86"/>
    <w:rsid w:val="00C83A80"/>
    <w:rsid w:val="00C84436"/>
    <w:rsid w:val="00C84439"/>
    <w:rsid w:val="00C84639"/>
    <w:rsid w:val="00C85346"/>
    <w:rsid w:val="00C85E26"/>
    <w:rsid w:val="00C8747A"/>
    <w:rsid w:val="00C9079E"/>
    <w:rsid w:val="00C90CCF"/>
    <w:rsid w:val="00C9130F"/>
    <w:rsid w:val="00C919AF"/>
    <w:rsid w:val="00C91C22"/>
    <w:rsid w:val="00C91EBF"/>
    <w:rsid w:val="00C91F6C"/>
    <w:rsid w:val="00C923AF"/>
    <w:rsid w:val="00C925F3"/>
    <w:rsid w:val="00C92885"/>
    <w:rsid w:val="00C9324D"/>
    <w:rsid w:val="00C935DF"/>
    <w:rsid w:val="00C94117"/>
    <w:rsid w:val="00C9421F"/>
    <w:rsid w:val="00C94400"/>
    <w:rsid w:val="00C94682"/>
    <w:rsid w:val="00C94D56"/>
    <w:rsid w:val="00C97283"/>
    <w:rsid w:val="00CA0061"/>
    <w:rsid w:val="00CA02D0"/>
    <w:rsid w:val="00CA0310"/>
    <w:rsid w:val="00CA10A8"/>
    <w:rsid w:val="00CA1331"/>
    <w:rsid w:val="00CA1ABE"/>
    <w:rsid w:val="00CA2282"/>
    <w:rsid w:val="00CA2FE5"/>
    <w:rsid w:val="00CA37ED"/>
    <w:rsid w:val="00CA4B2C"/>
    <w:rsid w:val="00CA4EE5"/>
    <w:rsid w:val="00CA4F65"/>
    <w:rsid w:val="00CA5924"/>
    <w:rsid w:val="00CA5D22"/>
    <w:rsid w:val="00CA7694"/>
    <w:rsid w:val="00CA7EF3"/>
    <w:rsid w:val="00CB12F9"/>
    <w:rsid w:val="00CB3F59"/>
    <w:rsid w:val="00CB498E"/>
    <w:rsid w:val="00CB51B2"/>
    <w:rsid w:val="00CB538D"/>
    <w:rsid w:val="00CB539F"/>
    <w:rsid w:val="00CB5EB8"/>
    <w:rsid w:val="00CB6E57"/>
    <w:rsid w:val="00CB79A9"/>
    <w:rsid w:val="00CB7CCA"/>
    <w:rsid w:val="00CC244C"/>
    <w:rsid w:val="00CC2526"/>
    <w:rsid w:val="00CC26A7"/>
    <w:rsid w:val="00CC2BDD"/>
    <w:rsid w:val="00CC3BF0"/>
    <w:rsid w:val="00CC3CD1"/>
    <w:rsid w:val="00CC462B"/>
    <w:rsid w:val="00CC4869"/>
    <w:rsid w:val="00CC4A96"/>
    <w:rsid w:val="00CC59B6"/>
    <w:rsid w:val="00CC59F4"/>
    <w:rsid w:val="00CC611B"/>
    <w:rsid w:val="00CC6EE7"/>
    <w:rsid w:val="00CC75F6"/>
    <w:rsid w:val="00CC76AE"/>
    <w:rsid w:val="00CD14D8"/>
    <w:rsid w:val="00CD19C6"/>
    <w:rsid w:val="00CD22B8"/>
    <w:rsid w:val="00CD28BA"/>
    <w:rsid w:val="00CD34D6"/>
    <w:rsid w:val="00CD37A6"/>
    <w:rsid w:val="00CD397C"/>
    <w:rsid w:val="00CD4146"/>
    <w:rsid w:val="00CD4425"/>
    <w:rsid w:val="00CD5B00"/>
    <w:rsid w:val="00CD5F9E"/>
    <w:rsid w:val="00CD68C8"/>
    <w:rsid w:val="00CD68FE"/>
    <w:rsid w:val="00CD6EE8"/>
    <w:rsid w:val="00CD768D"/>
    <w:rsid w:val="00CD79B7"/>
    <w:rsid w:val="00CE0723"/>
    <w:rsid w:val="00CE0953"/>
    <w:rsid w:val="00CE0969"/>
    <w:rsid w:val="00CE14EA"/>
    <w:rsid w:val="00CE1F86"/>
    <w:rsid w:val="00CE21E4"/>
    <w:rsid w:val="00CE2839"/>
    <w:rsid w:val="00CE3A54"/>
    <w:rsid w:val="00CE4106"/>
    <w:rsid w:val="00CE43A6"/>
    <w:rsid w:val="00CE4BA6"/>
    <w:rsid w:val="00CE50C5"/>
    <w:rsid w:val="00CE53F2"/>
    <w:rsid w:val="00CE6542"/>
    <w:rsid w:val="00CE65DD"/>
    <w:rsid w:val="00CE6690"/>
    <w:rsid w:val="00CE66A7"/>
    <w:rsid w:val="00CE6F65"/>
    <w:rsid w:val="00CE79B6"/>
    <w:rsid w:val="00CF0257"/>
    <w:rsid w:val="00CF10BF"/>
    <w:rsid w:val="00CF1D44"/>
    <w:rsid w:val="00CF23CC"/>
    <w:rsid w:val="00CF2CCA"/>
    <w:rsid w:val="00CF324E"/>
    <w:rsid w:val="00CF38DF"/>
    <w:rsid w:val="00CF3D90"/>
    <w:rsid w:val="00CF54AF"/>
    <w:rsid w:val="00CF57FA"/>
    <w:rsid w:val="00CF5F93"/>
    <w:rsid w:val="00CF61EF"/>
    <w:rsid w:val="00CF7252"/>
    <w:rsid w:val="00CF7B4B"/>
    <w:rsid w:val="00CF7CA4"/>
    <w:rsid w:val="00D018D2"/>
    <w:rsid w:val="00D02374"/>
    <w:rsid w:val="00D02C32"/>
    <w:rsid w:val="00D03CC5"/>
    <w:rsid w:val="00D058E3"/>
    <w:rsid w:val="00D0790C"/>
    <w:rsid w:val="00D07955"/>
    <w:rsid w:val="00D10D4F"/>
    <w:rsid w:val="00D1104A"/>
    <w:rsid w:val="00D111BA"/>
    <w:rsid w:val="00D11ADD"/>
    <w:rsid w:val="00D12D79"/>
    <w:rsid w:val="00D12DCC"/>
    <w:rsid w:val="00D1485B"/>
    <w:rsid w:val="00D148AA"/>
    <w:rsid w:val="00D148B9"/>
    <w:rsid w:val="00D14917"/>
    <w:rsid w:val="00D14B76"/>
    <w:rsid w:val="00D1570B"/>
    <w:rsid w:val="00D15833"/>
    <w:rsid w:val="00D15956"/>
    <w:rsid w:val="00D204E0"/>
    <w:rsid w:val="00D20A4A"/>
    <w:rsid w:val="00D22202"/>
    <w:rsid w:val="00D226C3"/>
    <w:rsid w:val="00D23B09"/>
    <w:rsid w:val="00D23E26"/>
    <w:rsid w:val="00D243C3"/>
    <w:rsid w:val="00D30951"/>
    <w:rsid w:val="00D312AD"/>
    <w:rsid w:val="00D31327"/>
    <w:rsid w:val="00D318FE"/>
    <w:rsid w:val="00D319A6"/>
    <w:rsid w:val="00D31B95"/>
    <w:rsid w:val="00D31E2E"/>
    <w:rsid w:val="00D31F49"/>
    <w:rsid w:val="00D32140"/>
    <w:rsid w:val="00D33402"/>
    <w:rsid w:val="00D345E2"/>
    <w:rsid w:val="00D34697"/>
    <w:rsid w:val="00D34844"/>
    <w:rsid w:val="00D34964"/>
    <w:rsid w:val="00D34C29"/>
    <w:rsid w:val="00D363DE"/>
    <w:rsid w:val="00D36792"/>
    <w:rsid w:val="00D36AB5"/>
    <w:rsid w:val="00D36B1C"/>
    <w:rsid w:val="00D3730C"/>
    <w:rsid w:val="00D37FBB"/>
    <w:rsid w:val="00D40B20"/>
    <w:rsid w:val="00D41E81"/>
    <w:rsid w:val="00D41EF7"/>
    <w:rsid w:val="00D4253F"/>
    <w:rsid w:val="00D428D4"/>
    <w:rsid w:val="00D43428"/>
    <w:rsid w:val="00D43598"/>
    <w:rsid w:val="00D4387D"/>
    <w:rsid w:val="00D44214"/>
    <w:rsid w:val="00D448F6"/>
    <w:rsid w:val="00D467CA"/>
    <w:rsid w:val="00D46C67"/>
    <w:rsid w:val="00D47658"/>
    <w:rsid w:val="00D477AD"/>
    <w:rsid w:val="00D508E3"/>
    <w:rsid w:val="00D50BEC"/>
    <w:rsid w:val="00D50D52"/>
    <w:rsid w:val="00D50FA5"/>
    <w:rsid w:val="00D51954"/>
    <w:rsid w:val="00D52B65"/>
    <w:rsid w:val="00D52C33"/>
    <w:rsid w:val="00D5481B"/>
    <w:rsid w:val="00D54885"/>
    <w:rsid w:val="00D550B4"/>
    <w:rsid w:val="00D551CA"/>
    <w:rsid w:val="00D55CE6"/>
    <w:rsid w:val="00D55DB8"/>
    <w:rsid w:val="00D5619D"/>
    <w:rsid w:val="00D5630B"/>
    <w:rsid w:val="00D56D5F"/>
    <w:rsid w:val="00D56F6E"/>
    <w:rsid w:val="00D57C10"/>
    <w:rsid w:val="00D60953"/>
    <w:rsid w:val="00D60F60"/>
    <w:rsid w:val="00D61227"/>
    <w:rsid w:val="00D6156B"/>
    <w:rsid w:val="00D61822"/>
    <w:rsid w:val="00D6197C"/>
    <w:rsid w:val="00D620E4"/>
    <w:rsid w:val="00D63046"/>
    <w:rsid w:val="00D64217"/>
    <w:rsid w:val="00D64262"/>
    <w:rsid w:val="00D6473B"/>
    <w:rsid w:val="00D64F7B"/>
    <w:rsid w:val="00D652DD"/>
    <w:rsid w:val="00D65756"/>
    <w:rsid w:val="00D66675"/>
    <w:rsid w:val="00D66BD4"/>
    <w:rsid w:val="00D66C67"/>
    <w:rsid w:val="00D66D34"/>
    <w:rsid w:val="00D66DC3"/>
    <w:rsid w:val="00D66EE3"/>
    <w:rsid w:val="00D67573"/>
    <w:rsid w:val="00D67B03"/>
    <w:rsid w:val="00D67FDE"/>
    <w:rsid w:val="00D70137"/>
    <w:rsid w:val="00D70568"/>
    <w:rsid w:val="00D7103F"/>
    <w:rsid w:val="00D7122E"/>
    <w:rsid w:val="00D71567"/>
    <w:rsid w:val="00D71B4C"/>
    <w:rsid w:val="00D71F73"/>
    <w:rsid w:val="00D72DBD"/>
    <w:rsid w:val="00D74289"/>
    <w:rsid w:val="00D74698"/>
    <w:rsid w:val="00D7495D"/>
    <w:rsid w:val="00D7553D"/>
    <w:rsid w:val="00D75EAC"/>
    <w:rsid w:val="00D76178"/>
    <w:rsid w:val="00D762A9"/>
    <w:rsid w:val="00D77003"/>
    <w:rsid w:val="00D77222"/>
    <w:rsid w:val="00D80543"/>
    <w:rsid w:val="00D80A62"/>
    <w:rsid w:val="00D811CE"/>
    <w:rsid w:val="00D8166E"/>
    <w:rsid w:val="00D81B3C"/>
    <w:rsid w:val="00D81D5F"/>
    <w:rsid w:val="00D81D92"/>
    <w:rsid w:val="00D82664"/>
    <w:rsid w:val="00D826F9"/>
    <w:rsid w:val="00D8361E"/>
    <w:rsid w:val="00D8416E"/>
    <w:rsid w:val="00D8448E"/>
    <w:rsid w:val="00D84AF0"/>
    <w:rsid w:val="00D84F43"/>
    <w:rsid w:val="00D8508F"/>
    <w:rsid w:val="00D8619A"/>
    <w:rsid w:val="00D86EEA"/>
    <w:rsid w:val="00D8703F"/>
    <w:rsid w:val="00D87446"/>
    <w:rsid w:val="00D87AFF"/>
    <w:rsid w:val="00D90BE0"/>
    <w:rsid w:val="00D90C63"/>
    <w:rsid w:val="00D9112A"/>
    <w:rsid w:val="00D91E7E"/>
    <w:rsid w:val="00D91F8D"/>
    <w:rsid w:val="00D920AE"/>
    <w:rsid w:val="00D926F7"/>
    <w:rsid w:val="00D9288A"/>
    <w:rsid w:val="00D934E3"/>
    <w:rsid w:val="00D941DE"/>
    <w:rsid w:val="00D943F0"/>
    <w:rsid w:val="00D95BCE"/>
    <w:rsid w:val="00D961A1"/>
    <w:rsid w:val="00D961D3"/>
    <w:rsid w:val="00D963CF"/>
    <w:rsid w:val="00D96933"/>
    <w:rsid w:val="00D96E81"/>
    <w:rsid w:val="00D9772B"/>
    <w:rsid w:val="00DA0A50"/>
    <w:rsid w:val="00DA0D1B"/>
    <w:rsid w:val="00DA126F"/>
    <w:rsid w:val="00DA1DF6"/>
    <w:rsid w:val="00DA1F1C"/>
    <w:rsid w:val="00DA25F9"/>
    <w:rsid w:val="00DA29A2"/>
    <w:rsid w:val="00DA2B77"/>
    <w:rsid w:val="00DA366E"/>
    <w:rsid w:val="00DA3895"/>
    <w:rsid w:val="00DA3D25"/>
    <w:rsid w:val="00DA3DF7"/>
    <w:rsid w:val="00DA3E76"/>
    <w:rsid w:val="00DA4F04"/>
    <w:rsid w:val="00DA5056"/>
    <w:rsid w:val="00DA5A80"/>
    <w:rsid w:val="00DA633D"/>
    <w:rsid w:val="00DA67B6"/>
    <w:rsid w:val="00DA7368"/>
    <w:rsid w:val="00DA79DE"/>
    <w:rsid w:val="00DA7F3A"/>
    <w:rsid w:val="00DB0046"/>
    <w:rsid w:val="00DB02ED"/>
    <w:rsid w:val="00DB0DF7"/>
    <w:rsid w:val="00DB22E2"/>
    <w:rsid w:val="00DB256F"/>
    <w:rsid w:val="00DB2A3F"/>
    <w:rsid w:val="00DB2C33"/>
    <w:rsid w:val="00DB3394"/>
    <w:rsid w:val="00DB37FD"/>
    <w:rsid w:val="00DB3831"/>
    <w:rsid w:val="00DB4644"/>
    <w:rsid w:val="00DB6707"/>
    <w:rsid w:val="00DB6A40"/>
    <w:rsid w:val="00DB72D8"/>
    <w:rsid w:val="00DB7BF9"/>
    <w:rsid w:val="00DB7C4C"/>
    <w:rsid w:val="00DB7EA1"/>
    <w:rsid w:val="00DC0B63"/>
    <w:rsid w:val="00DC178E"/>
    <w:rsid w:val="00DC2476"/>
    <w:rsid w:val="00DC326B"/>
    <w:rsid w:val="00DC343C"/>
    <w:rsid w:val="00DC3519"/>
    <w:rsid w:val="00DC3569"/>
    <w:rsid w:val="00DC3B9E"/>
    <w:rsid w:val="00DC3BE4"/>
    <w:rsid w:val="00DC4BA1"/>
    <w:rsid w:val="00DC51A3"/>
    <w:rsid w:val="00DC595F"/>
    <w:rsid w:val="00DC6CFF"/>
    <w:rsid w:val="00DC744D"/>
    <w:rsid w:val="00DC74C2"/>
    <w:rsid w:val="00DC79AE"/>
    <w:rsid w:val="00DC7D84"/>
    <w:rsid w:val="00DD081D"/>
    <w:rsid w:val="00DD15B8"/>
    <w:rsid w:val="00DD1645"/>
    <w:rsid w:val="00DD1859"/>
    <w:rsid w:val="00DD19C1"/>
    <w:rsid w:val="00DD1B37"/>
    <w:rsid w:val="00DD2E21"/>
    <w:rsid w:val="00DD3165"/>
    <w:rsid w:val="00DD3369"/>
    <w:rsid w:val="00DD3C61"/>
    <w:rsid w:val="00DD4EB6"/>
    <w:rsid w:val="00DD5841"/>
    <w:rsid w:val="00DD63E5"/>
    <w:rsid w:val="00DD6B26"/>
    <w:rsid w:val="00DD7653"/>
    <w:rsid w:val="00DD7776"/>
    <w:rsid w:val="00DE03D9"/>
    <w:rsid w:val="00DE1514"/>
    <w:rsid w:val="00DE1A37"/>
    <w:rsid w:val="00DE1B58"/>
    <w:rsid w:val="00DE296D"/>
    <w:rsid w:val="00DE2FE8"/>
    <w:rsid w:val="00DE3169"/>
    <w:rsid w:val="00DE3C5D"/>
    <w:rsid w:val="00DE420C"/>
    <w:rsid w:val="00DE4AE4"/>
    <w:rsid w:val="00DE4D7E"/>
    <w:rsid w:val="00DE56A9"/>
    <w:rsid w:val="00DE5732"/>
    <w:rsid w:val="00DE5D46"/>
    <w:rsid w:val="00DE6A1A"/>
    <w:rsid w:val="00DE6D84"/>
    <w:rsid w:val="00DE6FFB"/>
    <w:rsid w:val="00DF11DE"/>
    <w:rsid w:val="00DF16CA"/>
    <w:rsid w:val="00DF1EC7"/>
    <w:rsid w:val="00DF26A2"/>
    <w:rsid w:val="00DF3501"/>
    <w:rsid w:val="00DF3D6F"/>
    <w:rsid w:val="00DF6684"/>
    <w:rsid w:val="00DF6989"/>
    <w:rsid w:val="00DF6D3E"/>
    <w:rsid w:val="00DF76C2"/>
    <w:rsid w:val="00DF780B"/>
    <w:rsid w:val="00E002E7"/>
    <w:rsid w:val="00E006B5"/>
    <w:rsid w:val="00E0142A"/>
    <w:rsid w:val="00E0158E"/>
    <w:rsid w:val="00E01672"/>
    <w:rsid w:val="00E01755"/>
    <w:rsid w:val="00E01930"/>
    <w:rsid w:val="00E0207B"/>
    <w:rsid w:val="00E024F1"/>
    <w:rsid w:val="00E02A2F"/>
    <w:rsid w:val="00E02CCB"/>
    <w:rsid w:val="00E02D89"/>
    <w:rsid w:val="00E034CF"/>
    <w:rsid w:val="00E036BB"/>
    <w:rsid w:val="00E03903"/>
    <w:rsid w:val="00E03BFE"/>
    <w:rsid w:val="00E04151"/>
    <w:rsid w:val="00E0491A"/>
    <w:rsid w:val="00E0519B"/>
    <w:rsid w:val="00E06815"/>
    <w:rsid w:val="00E0690B"/>
    <w:rsid w:val="00E073BA"/>
    <w:rsid w:val="00E07648"/>
    <w:rsid w:val="00E0786A"/>
    <w:rsid w:val="00E0793C"/>
    <w:rsid w:val="00E07EE4"/>
    <w:rsid w:val="00E1077E"/>
    <w:rsid w:val="00E10EE6"/>
    <w:rsid w:val="00E115AC"/>
    <w:rsid w:val="00E11D0C"/>
    <w:rsid w:val="00E11F2E"/>
    <w:rsid w:val="00E12201"/>
    <w:rsid w:val="00E12606"/>
    <w:rsid w:val="00E12BEC"/>
    <w:rsid w:val="00E13262"/>
    <w:rsid w:val="00E139CB"/>
    <w:rsid w:val="00E13BC3"/>
    <w:rsid w:val="00E13E10"/>
    <w:rsid w:val="00E14858"/>
    <w:rsid w:val="00E14CCD"/>
    <w:rsid w:val="00E15088"/>
    <w:rsid w:val="00E152C5"/>
    <w:rsid w:val="00E153CF"/>
    <w:rsid w:val="00E16589"/>
    <w:rsid w:val="00E16995"/>
    <w:rsid w:val="00E16F72"/>
    <w:rsid w:val="00E17E53"/>
    <w:rsid w:val="00E17E79"/>
    <w:rsid w:val="00E2009B"/>
    <w:rsid w:val="00E200A4"/>
    <w:rsid w:val="00E20888"/>
    <w:rsid w:val="00E20BDE"/>
    <w:rsid w:val="00E20F42"/>
    <w:rsid w:val="00E20F9B"/>
    <w:rsid w:val="00E210F5"/>
    <w:rsid w:val="00E215C8"/>
    <w:rsid w:val="00E221A9"/>
    <w:rsid w:val="00E22AB6"/>
    <w:rsid w:val="00E22D29"/>
    <w:rsid w:val="00E2328F"/>
    <w:rsid w:val="00E23780"/>
    <w:rsid w:val="00E23FC0"/>
    <w:rsid w:val="00E2411C"/>
    <w:rsid w:val="00E2453A"/>
    <w:rsid w:val="00E25446"/>
    <w:rsid w:val="00E25FE4"/>
    <w:rsid w:val="00E263F5"/>
    <w:rsid w:val="00E26747"/>
    <w:rsid w:val="00E27200"/>
    <w:rsid w:val="00E27500"/>
    <w:rsid w:val="00E2756C"/>
    <w:rsid w:val="00E27A05"/>
    <w:rsid w:val="00E30288"/>
    <w:rsid w:val="00E30BF8"/>
    <w:rsid w:val="00E314C1"/>
    <w:rsid w:val="00E317DF"/>
    <w:rsid w:val="00E31F2E"/>
    <w:rsid w:val="00E3258D"/>
    <w:rsid w:val="00E32B14"/>
    <w:rsid w:val="00E330AB"/>
    <w:rsid w:val="00E33426"/>
    <w:rsid w:val="00E33B45"/>
    <w:rsid w:val="00E343FF"/>
    <w:rsid w:val="00E34A48"/>
    <w:rsid w:val="00E352AD"/>
    <w:rsid w:val="00E3538B"/>
    <w:rsid w:val="00E353E5"/>
    <w:rsid w:val="00E357EE"/>
    <w:rsid w:val="00E3771E"/>
    <w:rsid w:val="00E37841"/>
    <w:rsid w:val="00E40BD0"/>
    <w:rsid w:val="00E414FE"/>
    <w:rsid w:val="00E416E1"/>
    <w:rsid w:val="00E41B9F"/>
    <w:rsid w:val="00E42738"/>
    <w:rsid w:val="00E42942"/>
    <w:rsid w:val="00E44A91"/>
    <w:rsid w:val="00E44E07"/>
    <w:rsid w:val="00E453B4"/>
    <w:rsid w:val="00E4611D"/>
    <w:rsid w:val="00E4784D"/>
    <w:rsid w:val="00E4793B"/>
    <w:rsid w:val="00E507D9"/>
    <w:rsid w:val="00E50994"/>
    <w:rsid w:val="00E51982"/>
    <w:rsid w:val="00E51AEC"/>
    <w:rsid w:val="00E52033"/>
    <w:rsid w:val="00E520CE"/>
    <w:rsid w:val="00E5234E"/>
    <w:rsid w:val="00E550D2"/>
    <w:rsid w:val="00E559B3"/>
    <w:rsid w:val="00E55C8A"/>
    <w:rsid w:val="00E56779"/>
    <w:rsid w:val="00E56C87"/>
    <w:rsid w:val="00E56EAE"/>
    <w:rsid w:val="00E57159"/>
    <w:rsid w:val="00E572C4"/>
    <w:rsid w:val="00E6019E"/>
    <w:rsid w:val="00E602E2"/>
    <w:rsid w:val="00E606A7"/>
    <w:rsid w:val="00E61AFF"/>
    <w:rsid w:val="00E61B1E"/>
    <w:rsid w:val="00E61FDF"/>
    <w:rsid w:val="00E6223A"/>
    <w:rsid w:val="00E63553"/>
    <w:rsid w:val="00E635F4"/>
    <w:rsid w:val="00E63F9A"/>
    <w:rsid w:val="00E64242"/>
    <w:rsid w:val="00E64280"/>
    <w:rsid w:val="00E64389"/>
    <w:rsid w:val="00E64612"/>
    <w:rsid w:val="00E64821"/>
    <w:rsid w:val="00E65419"/>
    <w:rsid w:val="00E6569A"/>
    <w:rsid w:val="00E66260"/>
    <w:rsid w:val="00E669A8"/>
    <w:rsid w:val="00E66A98"/>
    <w:rsid w:val="00E66F56"/>
    <w:rsid w:val="00E670E3"/>
    <w:rsid w:val="00E6716E"/>
    <w:rsid w:val="00E672EC"/>
    <w:rsid w:val="00E678F7"/>
    <w:rsid w:val="00E67AA2"/>
    <w:rsid w:val="00E702AC"/>
    <w:rsid w:val="00E71063"/>
    <w:rsid w:val="00E72197"/>
    <w:rsid w:val="00E72637"/>
    <w:rsid w:val="00E7308D"/>
    <w:rsid w:val="00E736D1"/>
    <w:rsid w:val="00E73B1F"/>
    <w:rsid w:val="00E7400B"/>
    <w:rsid w:val="00E7453A"/>
    <w:rsid w:val="00E74E63"/>
    <w:rsid w:val="00E753D2"/>
    <w:rsid w:val="00E75580"/>
    <w:rsid w:val="00E75800"/>
    <w:rsid w:val="00E75B79"/>
    <w:rsid w:val="00E75EA5"/>
    <w:rsid w:val="00E767E5"/>
    <w:rsid w:val="00E76C09"/>
    <w:rsid w:val="00E779B7"/>
    <w:rsid w:val="00E77A64"/>
    <w:rsid w:val="00E77A79"/>
    <w:rsid w:val="00E77CB2"/>
    <w:rsid w:val="00E80BE1"/>
    <w:rsid w:val="00E80F80"/>
    <w:rsid w:val="00E81BF5"/>
    <w:rsid w:val="00E82656"/>
    <w:rsid w:val="00E82660"/>
    <w:rsid w:val="00E82ACB"/>
    <w:rsid w:val="00E82ADC"/>
    <w:rsid w:val="00E836CD"/>
    <w:rsid w:val="00E846A3"/>
    <w:rsid w:val="00E846F8"/>
    <w:rsid w:val="00E8506D"/>
    <w:rsid w:val="00E85BBF"/>
    <w:rsid w:val="00E85F71"/>
    <w:rsid w:val="00E868D4"/>
    <w:rsid w:val="00E87655"/>
    <w:rsid w:val="00E877AE"/>
    <w:rsid w:val="00E87DD3"/>
    <w:rsid w:val="00E900C4"/>
    <w:rsid w:val="00E913B5"/>
    <w:rsid w:val="00E91975"/>
    <w:rsid w:val="00E91BC4"/>
    <w:rsid w:val="00E92063"/>
    <w:rsid w:val="00E92762"/>
    <w:rsid w:val="00E92B9C"/>
    <w:rsid w:val="00E94C6A"/>
    <w:rsid w:val="00E9536D"/>
    <w:rsid w:val="00E96044"/>
    <w:rsid w:val="00E96979"/>
    <w:rsid w:val="00E96A34"/>
    <w:rsid w:val="00E97769"/>
    <w:rsid w:val="00E97A27"/>
    <w:rsid w:val="00E97D58"/>
    <w:rsid w:val="00EA031E"/>
    <w:rsid w:val="00EA086F"/>
    <w:rsid w:val="00EA0899"/>
    <w:rsid w:val="00EA0E43"/>
    <w:rsid w:val="00EA0F56"/>
    <w:rsid w:val="00EA0FD5"/>
    <w:rsid w:val="00EA13BA"/>
    <w:rsid w:val="00EA1662"/>
    <w:rsid w:val="00EA1F56"/>
    <w:rsid w:val="00EA265B"/>
    <w:rsid w:val="00EA3134"/>
    <w:rsid w:val="00EA34D1"/>
    <w:rsid w:val="00EA35C7"/>
    <w:rsid w:val="00EA37AC"/>
    <w:rsid w:val="00EA3F5B"/>
    <w:rsid w:val="00EA48C8"/>
    <w:rsid w:val="00EA4ED8"/>
    <w:rsid w:val="00EA5453"/>
    <w:rsid w:val="00EA566E"/>
    <w:rsid w:val="00EA5801"/>
    <w:rsid w:val="00EA5D79"/>
    <w:rsid w:val="00EA6959"/>
    <w:rsid w:val="00EA6C6E"/>
    <w:rsid w:val="00EA6D15"/>
    <w:rsid w:val="00EA776C"/>
    <w:rsid w:val="00EA7EA2"/>
    <w:rsid w:val="00EB03E4"/>
    <w:rsid w:val="00EB0990"/>
    <w:rsid w:val="00EB16B2"/>
    <w:rsid w:val="00EB2532"/>
    <w:rsid w:val="00EB2ED8"/>
    <w:rsid w:val="00EB341D"/>
    <w:rsid w:val="00EB3740"/>
    <w:rsid w:val="00EB39B4"/>
    <w:rsid w:val="00EB3DA7"/>
    <w:rsid w:val="00EB3EE7"/>
    <w:rsid w:val="00EB401F"/>
    <w:rsid w:val="00EB50F0"/>
    <w:rsid w:val="00EB58A5"/>
    <w:rsid w:val="00EB62B8"/>
    <w:rsid w:val="00EB63C9"/>
    <w:rsid w:val="00EB6455"/>
    <w:rsid w:val="00EB6781"/>
    <w:rsid w:val="00EB6D9F"/>
    <w:rsid w:val="00EB74D7"/>
    <w:rsid w:val="00EB78D8"/>
    <w:rsid w:val="00EB79E1"/>
    <w:rsid w:val="00EB7AAE"/>
    <w:rsid w:val="00EB7FCE"/>
    <w:rsid w:val="00EC0050"/>
    <w:rsid w:val="00EC08ED"/>
    <w:rsid w:val="00EC0EC0"/>
    <w:rsid w:val="00EC1BCA"/>
    <w:rsid w:val="00EC20F5"/>
    <w:rsid w:val="00EC2B98"/>
    <w:rsid w:val="00EC2D64"/>
    <w:rsid w:val="00EC377F"/>
    <w:rsid w:val="00EC3BE2"/>
    <w:rsid w:val="00EC42EE"/>
    <w:rsid w:val="00EC483D"/>
    <w:rsid w:val="00EC48D1"/>
    <w:rsid w:val="00EC4F70"/>
    <w:rsid w:val="00EC56BD"/>
    <w:rsid w:val="00EC59A0"/>
    <w:rsid w:val="00EC61C9"/>
    <w:rsid w:val="00EC696C"/>
    <w:rsid w:val="00EC6C38"/>
    <w:rsid w:val="00EC707B"/>
    <w:rsid w:val="00ED039D"/>
    <w:rsid w:val="00ED0939"/>
    <w:rsid w:val="00ED0C60"/>
    <w:rsid w:val="00ED1613"/>
    <w:rsid w:val="00ED204B"/>
    <w:rsid w:val="00ED21FE"/>
    <w:rsid w:val="00ED279E"/>
    <w:rsid w:val="00ED2A9C"/>
    <w:rsid w:val="00ED40E2"/>
    <w:rsid w:val="00ED44B9"/>
    <w:rsid w:val="00ED5D6B"/>
    <w:rsid w:val="00ED6F01"/>
    <w:rsid w:val="00ED71F1"/>
    <w:rsid w:val="00EE02A3"/>
    <w:rsid w:val="00EE0B19"/>
    <w:rsid w:val="00EE0F99"/>
    <w:rsid w:val="00EE1031"/>
    <w:rsid w:val="00EE10E0"/>
    <w:rsid w:val="00EE1921"/>
    <w:rsid w:val="00EE2080"/>
    <w:rsid w:val="00EE271C"/>
    <w:rsid w:val="00EE28D7"/>
    <w:rsid w:val="00EE38C8"/>
    <w:rsid w:val="00EE43F3"/>
    <w:rsid w:val="00EE48F5"/>
    <w:rsid w:val="00EE52DF"/>
    <w:rsid w:val="00EE5E93"/>
    <w:rsid w:val="00EE754C"/>
    <w:rsid w:val="00EF04A8"/>
    <w:rsid w:val="00EF0908"/>
    <w:rsid w:val="00EF0D50"/>
    <w:rsid w:val="00EF1519"/>
    <w:rsid w:val="00EF1700"/>
    <w:rsid w:val="00EF1944"/>
    <w:rsid w:val="00EF2AD4"/>
    <w:rsid w:val="00EF30F5"/>
    <w:rsid w:val="00EF3CDA"/>
    <w:rsid w:val="00EF5115"/>
    <w:rsid w:val="00EF516A"/>
    <w:rsid w:val="00EF529C"/>
    <w:rsid w:val="00EF5A18"/>
    <w:rsid w:val="00EF5CE1"/>
    <w:rsid w:val="00EF6349"/>
    <w:rsid w:val="00EF74BC"/>
    <w:rsid w:val="00EF77B2"/>
    <w:rsid w:val="00EF79D0"/>
    <w:rsid w:val="00EF7ADD"/>
    <w:rsid w:val="00EF7C1C"/>
    <w:rsid w:val="00F00847"/>
    <w:rsid w:val="00F00B41"/>
    <w:rsid w:val="00F00BC5"/>
    <w:rsid w:val="00F00EB9"/>
    <w:rsid w:val="00F01B5B"/>
    <w:rsid w:val="00F02359"/>
    <w:rsid w:val="00F0284F"/>
    <w:rsid w:val="00F0285B"/>
    <w:rsid w:val="00F02A14"/>
    <w:rsid w:val="00F03212"/>
    <w:rsid w:val="00F03487"/>
    <w:rsid w:val="00F03B21"/>
    <w:rsid w:val="00F03D5A"/>
    <w:rsid w:val="00F04DD5"/>
    <w:rsid w:val="00F04E67"/>
    <w:rsid w:val="00F04F2F"/>
    <w:rsid w:val="00F050D9"/>
    <w:rsid w:val="00F058A4"/>
    <w:rsid w:val="00F065FD"/>
    <w:rsid w:val="00F06B59"/>
    <w:rsid w:val="00F06CC2"/>
    <w:rsid w:val="00F07271"/>
    <w:rsid w:val="00F078D4"/>
    <w:rsid w:val="00F07B76"/>
    <w:rsid w:val="00F07DEF"/>
    <w:rsid w:val="00F11909"/>
    <w:rsid w:val="00F11A28"/>
    <w:rsid w:val="00F11FAB"/>
    <w:rsid w:val="00F12291"/>
    <w:rsid w:val="00F138AD"/>
    <w:rsid w:val="00F13EB6"/>
    <w:rsid w:val="00F148A4"/>
    <w:rsid w:val="00F153ED"/>
    <w:rsid w:val="00F1579F"/>
    <w:rsid w:val="00F15F18"/>
    <w:rsid w:val="00F164B3"/>
    <w:rsid w:val="00F16D67"/>
    <w:rsid w:val="00F16F6B"/>
    <w:rsid w:val="00F17580"/>
    <w:rsid w:val="00F17BDF"/>
    <w:rsid w:val="00F21388"/>
    <w:rsid w:val="00F21581"/>
    <w:rsid w:val="00F2197B"/>
    <w:rsid w:val="00F219EB"/>
    <w:rsid w:val="00F225A3"/>
    <w:rsid w:val="00F225ED"/>
    <w:rsid w:val="00F236A2"/>
    <w:rsid w:val="00F24215"/>
    <w:rsid w:val="00F24437"/>
    <w:rsid w:val="00F2544C"/>
    <w:rsid w:val="00F27308"/>
    <w:rsid w:val="00F273B9"/>
    <w:rsid w:val="00F27603"/>
    <w:rsid w:val="00F3006C"/>
    <w:rsid w:val="00F3099A"/>
    <w:rsid w:val="00F30DFD"/>
    <w:rsid w:val="00F31104"/>
    <w:rsid w:val="00F31E50"/>
    <w:rsid w:val="00F32EE3"/>
    <w:rsid w:val="00F3371E"/>
    <w:rsid w:val="00F33A2E"/>
    <w:rsid w:val="00F33EE6"/>
    <w:rsid w:val="00F3410F"/>
    <w:rsid w:val="00F34863"/>
    <w:rsid w:val="00F34A58"/>
    <w:rsid w:val="00F34F20"/>
    <w:rsid w:val="00F35956"/>
    <w:rsid w:val="00F35AFA"/>
    <w:rsid w:val="00F35C6D"/>
    <w:rsid w:val="00F36E38"/>
    <w:rsid w:val="00F37230"/>
    <w:rsid w:val="00F37A66"/>
    <w:rsid w:val="00F405F8"/>
    <w:rsid w:val="00F40600"/>
    <w:rsid w:val="00F4077C"/>
    <w:rsid w:val="00F40DB6"/>
    <w:rsid w:val="00F41194"/>
    <w:rsid w:val="00F4141C"/>
    <w:rsid w:val="00F41AB8"/>
    <w:rsid w:val="00F42DC5"/>
    <w:rsid w:val="00F42E10"/>
    <w:rsid w:val="00F43E46"/>
    <w:rsid w:val="00F453D5"/>
    <w:rsid w:val="00F458C7"/>
    <w:rsid w:val="00F45A2D"/>
    <w:rsid w:val="00F46ECF"/>
    <w:rsid w:val="00F474A5"/>
    <w:rsid w:val="00F50837"/>
    <w:rsid w:val="00F50C8A"/>
    <w:rsid w:val="00F52527"/>
    <w:rsid w:val="00F5270F"/>
    <w:rsid w:val="00F52DFB"/>
    <w:rsid w:val="00F53978"/>
    <w:rsid w:val="00F54E29"/>
    <w:rsid w:val="00F5532E"/>
    <w:rsid w:val="00F556E7"/>
    <w:rsid w:val="00F55D61"/>
    <w:rsid w:val="00F56A15"/>
    <w:rsid w:val="00F56B8E"/>
    <w:rsid w:val="00F56CA0"/>
    <w:rsid w:val="00F56F90"/>
    <w:rsid w:val="00F57220"/>
    <w:rsid w:val="00F60E5F"/>
    <w:rsid w:val="00F611CD"/>
    <w:rsid w:val="00F6221B"/>
    <w:rsid w:val="00F62522"/>
    <w:rsid w:val="00F6275C"/>
    <w:rsid w:val="00F629D9"/>
    <w:rsid w:val="00F62BA2"/>
    <w:rsid w:val="00F6363F"/>
    <w:rsid w:val="00F63822"/>
    <w:rsid w:val="00F638D4"/>
    <w:rsid w:val="00F63D70"/>
    <w:rsid w:val="00F63F77"/>
    <w:rsid w:val="00F65041"/>
    <w:rsid w:val="00F651B3"/>
    <w:rsid w:val="00F655AB"/>
    <w:rsid w:val="00F65653"/>
    <w:rsid w:val="00F65C60"/>
    <w:rsid w:val="00F65FA9"/>
    <w:rsid w:val="00F667F1"/>
    <w:rsid w:val="00F66941"/>
    <w:rsid w:val="00F669B4"/>
    <w:rsid w:val="00F66B11"/>
    <w:rsid w:val="00F674B9"/>
    <w:rsid w:val="00F70148"/>
    <w:rsid w:val="00F70921"/>
    <w:rsid w:val="00F70A0E"/>
    <w:rsid w:val="00F712AD"/>
    <w:rsid w:val="00F713CF"/>
    <w:rsid w:val="00F718DB"/>
    <w:rsid w:val="00F71EA8"/>
    <w:rsid w:val="00F71FB6"/>
    <w:rsid w:val="00F72238"/>
    <w:rsid w:val="00F7278A"/>
    <w:rsid w:val="00F72A2B"/>
    <w:rsid w:val="00F73F95"/>
    <w:rsid w:val="00F73FAF"/>
    <w:rsid w:val="00F7416C"/>
    <w:rsid w:val="00F74BA4"/>
    <w:rsid w:val="00F751C2"/>
    <w:rsid w:val="00F75211"/>
    <w:rsid w:val="00F7545E"/>
    <w:rsid w:val="00F75551"/>
    <w:rsid w:val="00F7561A"/>
    <w:rsid w:val="00F7610B"/>
    <w:rsid w:val="00F76322"/>
    <w:rsid w:val="00F76669"/>
    <w:rsid w:val="00F76F31"/>
    <w:rsid w:val="00F800D4"/>
    <w:rsid w:val="00F8047F"/>
    <w:rsid w:val="00F80A54"/>
    <w:rsid w:val="00F80D47"/>
    <w:rsid w:val="00F819F8"/>
    <w:rsid w:val="00F81A12"/>
    <w:rsid w:val="00F81DDF"/>
    <w:rsid w:val="00F82943"/>
    <w:rsid w:val="00F8352F"/>
    <w:rsid w:val="00F83B3E"/>
    <w:rsid w:val="00F83F22"/>
    <w:rsid w:val="00F840BB"/>
    <w:rsid w:val="00F842AB"/>
    <w:rsid w:val="00F85A0C"/>
    <w:rsid w:val="00F861E4"/>
    <w:rsid w:val="00F86DDB"/>
    <w:rsid w:val="00F86F45"/>
    <w:rsid w:val="00F8714D"/>
    <w:rsid w:val="00F87354"/>
    <w:rsid w:val="00F877F6"/>
    <w:rsid w:val="00F90090"/>
    <w:rsid w:val="00F908A9"/>
    <w:rsid w:val="00F90E2D"/>
    <w:rsid w:val="00F928E5"/>
    <w:rsid w:val="00F92E27"/>
    <w:rsid w:val="00F933B1"/>
    <w:rsid w:val="00F93A1F"/>
    <w:rsid w:val="00F93D74"/>
    <w:rsid w:val="00F95229"/>
    <w:rsid w:val="00F95946"/>
    <w:rsid w:val="00F966C5"/>
    <w:rsid w:val="00F973BC"/>
    <w:rsid w:val="00F97677"/>
    <w:rsid w:val="00F977DA"/>
    <w:rsid w:val="00F97928"/>
    <w:rsid w:val="00F97C14"/>
    <w:rsid w:val="00FA0735"/>
    <w:rsid w:val="00FA09E8"/>
    <w:rsid w:val="00FA0A08"/>
    <w:rsid w:val="00FA0C47"/>
    <w:rsid w:val="00FA0F2D"/>
    <w:rsid w:val="00FA17E4"/>
    <w:rsid w:val="00FA1AA5"/>
    <w:rsid w:val="00FA1B04"/>
    <w:rsid w:val="00FA24FF"/>
    <w:rsid w:val="00FA2EBC"/>
    <w:rsid w:val="00FA34D4"/>
    <w:rsid w:val="00FA3597"/>
    <w:rsid w:val="00FA41E3"/>
    <w:rsid w:val="00FA4254"/>
    <w:rsid w:val="00FA5A34"/>
    <w:rsid w:val="00FA6026"/>
    <w:rsid w:val="00FA61F6"/>
    <w:rsid w:val="00FA675E"/>
    <w:rsid w:val="00FA6976"/>
    <w:rsid w:val="00FA7128"/>
    <w:rsid w:val="00FA7268"/>
    <w:rsid w:val="00FA7389"/>
    <w:rsid w:val="00FA7929"/>
    <w:rsid w:val="00FA7D9C"/>
    <w:rsid w:val="00FB0C9C"/>
    <w:rsid w:val="00FB1736"/>
    <w:rsid w:val="00FB1DB9"/>
    <w:rsid w:val="00FB2271"/>
    <w:rsid w:val="00FB2E05"/>
    <w:rsid w:val="00FB33E8"/>
    <w:rsid w:val="00FB35CD"/>
    <w:rsid w:val="00FB3AA2"/>
    <w:rsid w:val="00FB4C3F"/>
    <w:rsid w:val="00FB5489"/>
    <w:rsid w:val="00FB563E"/>
    <w:rsid w:val="00FB68A7"/>
    <w:rsid w:val="00FB6C61"/>
    <w:rsid w:val="00FB71FB"/>
    <w:rsid w:val="00FB7FD4"/>
    <w:rsid w:val="00FC0584"/>
    <w:rsid w:val="00FC0605"/>
    <w:rsid w:val="00FC0740"/>
    <w:rsid w:val="00FC1028"/>
    <w:rsid w:val="00FC1466"/>
    <w:rsid w:val="00FC1A82"/>
    <w:rsid w:val="00FC1D1F"/>
    <w:rsid w:val="00FC2222"/>
    <w:rsid w:val="00FC2A96"/>
    <w:rsid w:val="00FC2D03"/>
    <w:rsid w:val="00FC2F94"/>
    <w:rsid w:val="00FC3031"/>
    <w:rsid w:val="00FC3EA0"/>
    <w:rsid w:val="00FC3FF1"/>
    <w:rsid w:val="00FC41F6"/>
    <w:rsid w:val="00FC4E7D"/>
    <w:rsid w:val="00FC5691"/>
    <w:rsid w:val="00FC5BF8"/>
    <w:rsid w:val="00FC61AD"/>
    <w:rsid w:val="00FC61DE"/>
    <w:rsid w:val="00FC707F"/>
    <w:rsid w:val="00FC7686"/>
    <w:rsid w:val="00FC79F7"/>
    <w:rsid w:val="00FC7C09"/>
    <w:rsid w:val="00FD056F"/>
    <w:rsid w:val="00FD05D9"/>
    <w:rsid w:val="00FD0AA4"/>
    <w:rsid w:val="00FD0CEE"/>
    <w:rsid w:val="00FD121D"/>
    <w:rsid w:val="00FD1506"/>
    <w:rsid w:val="00FD163F"/>
    <w:rsid w:val="00FD1DAE"/>
    <w:rsid w:val="00FD24D0"/>
    <w:rsid w:val="00FD3179"/>
    <w:rsid w:val="00FD35DF"/>
    <w:rsid w:val="00FD42FD"/>
    <w:rsid w:val="00FD49BE"/>
    <w:rsid w:val="00FD65BA"/>
    <w:rsid w:val="00FD68CD"/>
    <w:rsid w:val="00FD7002"/>
    <w:rsid w:val="00FD7710"/>
    <w:rsid w:val="00FD7C3D"/>
    <w:rsid w:val="00FE197B"/>
    <w:rsid w:val="00FE1A47"/>
    <w:rsid w:val="00FE2E9A"/>
    <w:rsid w:val="00FE3171"/>
    <w:rsid w:val="00FE34E4"/>
    <w:rsid w:val="00FE3E59"/>
    <w:rsid w:val="00FE4081"/>
    <w:rsid w:val="00FE4BB6"/>
    <w:rsid w:val="00FE4D0B"/>
    <w:rsid w:val="00FE4DBA"/>
    <w:rsid w:val="00FE4F9B"/>
    <w:rsid w:val="00FE5E9F"/>
    <w:rsid w:val="00FE5F9F"/>
    <w:rsid w:val="00FE7391"/>
    <w:rsid w:val="00FE7DB8"/>
    <w:rsid w:val="00FF0208"/>
    <w:rsid w:val="00FF04B9"/>
    <w:rsid w:val="00FF09A2"/>
    <w:rsid w:val="00FF0BD5"/>
    <w:rsid w:val="00FF160F"/>
    <w:rsid w:val="00FF24DE"/>
    <w:rsid w:val="00FF2B8E"/>
    <w:rsid w:val="00FF3506"/>
    <w:rsid w:val="00FF39C1"/>
    <w:rsid w:val="00FF503F"/>
    <w:rsid w:val="00FF5104"/>
    <w:rsid w:val="00FF596C"/>
    <w:rsid w:val="00FF5C98"/>
    <w:rsid w:val="00FF5F73"/>
    <w:rsid w:val="00FF69CA"/>
    <w:rsid w:val="00FF6B98"/>
    <w:rsid w:val="00FF7B30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2691EF"/>
  <w15:docId w15:val="{3D98A53F-5F61-4B62-A335-99F32B032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D61"/>
    <w:pPr>
      <w:spacing w:after="0" w:line="240" w:lineRule="auto"/>
      <w:jc w:val="both"/>
    </w:pPr>
    <w:rPr>
      <w:rFonts w:ascii="Times New Roman" w:eastAsiaTheme="minorEastAsia" w:hAnsi="Times New Roman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25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64BA9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C047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064B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E97769"/>
    <w:pPr>
      <w:ind w:left="720"/>
      <w:contextualSpacing/>
    </w:pPr>
    <w:rPr>
      <w:rFonts w:eastAsiaTheme="minorHAnsi"/>
      <w:sz w:val="16"/>
      <w:szCs w:val="22"/>
      <w:lang w:eastAsia="en-US"/>
    </w:rPr>
  </w:style>
  <w:style w:type="paragraph" w:customStyle="1" w:styleId="Default">
    <w:name w:val="Default"/>
    <w:rsid w:val="00D435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D43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D68CD"/>
    <w:pPr>
      <w:spacing w:before="100" w:beforeAutospacing="1" w:after="100" w:afterAutospacing="1"/>
    </w:pPr>
    <w:rPr>
      <w:rFonts w:cs="Times New Roman"/>
      <w:lang w:eastAsia="es-G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B5E1C"/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B5E1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B5E1C"/>
    <w:rPr>
      <w:vertAlign w:val="superscript"/>
    </w:rPr>
  </w:style>
  <w:style w:type="table" w:styleId="Cuadrculaclara-nfasis1">
    <w:name w:val="Light Grid Accent 1"/>
    <w:basedOn w:val="Tablanormal"/>
    <w:uiPriority w:val="62"/>
    <w:rsid w:val="000B5E1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-nfasis5">
    <w:name w:val="Light Shading Accent 5"/>
    <w:basedOn w:val="Tablanormal"/>
    <w:uiPriority w:val="60"/>
    <w:rsid w:val="000B5E1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Sinespaciado">
    <w:name w:val="No Spacing"/>
    <w:link w:val="SinespaciadoCar"/>
    <w:uiPriority w:val="1"/>
    <w:qFormat/>
    <w:rsid w:val="000B5E1C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B5E1C"/>
  </w:style>
  <w:style w:type="paragraph" w:styleId="Ttulo">
    <w:name w:val="Title"/>
    <w:basedOn w:val="Normal"/>
    <w:next w:val="Normal"/>
    <w:link w:val="TtuloCar"/>
    <w:uiPriority w:val="10"/>
    <w:qFormat/>
    <w:rsid w:val="0032588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GT"/>
    </w:rPr>
  </w:style>
  <w:style w:type="character" w:customStyle="1" w:styleId="TtuloCar">
    <w:name w:val="Título Car"/>
    <w:basedOn w:val="Fuentedeprrafopredeter"/>
    <w:link w:val="Ttulo"/>
    <w:uiPriority w:val="10"/>
    <w:rsid w:val="003258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GT"/>
    </w:rPr>
  </w:style>
  <w:style w:type="paragraph" w:styleId="Subttulo">
    <w:name w:val="Subtitle"/>
    <w:basedOn w:val="Normal"/>
    <w:next w:val="Normal"/>
    <w:link w:val="SubttuloCar"/>
    <w:uiPriority w:val="11"/>
    <w:qFormat/>
    <w:rsid w:val="0032588B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s-GT"/>
    </w:rPr>
  </w:style>
  <w:style w:type="character" w:customStyle="1" w:styleId="SubttuloCar">
    <w:name w:val="Subtítulo Car"/>
    <w:basedOn w:val="Fuentedeprrafopredeter"/>
    <w:link w:val="Subttulo"/>
    <w:uiPriority w:val="11"/>
    <w:rsid w:val="003258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GT"/>
    </w:rPr>
  </w:style>
  <w:style w:type="character" w:customStyle="1" w:styleId="Ttulo1Car">
    <w:name w:val="Título 1 Car"/>
    <w:basedOn w:val="Fuentedeprrafopredeter"/>
    <w:link w:val="Ttulo1"/>
    <w:uiPriority w:val="9"/>
    <w:rsid w:val="00325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_tradnl" w:eastAsia="es-ES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32588B"/>
    <w:pPr>
      <w:spacing w:line="276" w:lineRule="auto"/>
      <w:outlineLvl w:val="9"/>
    </w:pPr>
    <w:rPr>
      <w:lang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594050"/>
    <w:pPr>
      <w:tabs>
        <w:tab w:val="left" w:pos="440"/>
        <w:tab w:val="right" w:leader="dot" w:pos="9394"/>
      </w:tabs>
      <w:spacing w:after="100"/>
    </w:pPr>
    <w:rPr>
      <w:rFonts w:eastAsiaTheme="majorEastAsia" w:cs="Times New Roman"/>
      <w:b/>
      <w:bCs/>
      <w:noProof/>
    </w:rPr>
  </w:style>
  <w:style w:type="paragraph" w:styleId="TDC2">
    <w:name w:val="toc 2"/>
    <w:basedOn w:val="Normal"/>
    <w:next w:val="Normal"/>
    <w:autoRedefine/>
    <w:uiPriority w:val="39"/>
    <w:unhideWhenUsed/>
    <w:rsid w:val="0054409D"/>
    <w:pPr>
      <w:tabs>
        <w:tab w:val="left" w:pos="880"/>
        <w:tab w:val="right" w:leader="dot" w:pos="9356"/>
      </w:tabs>
      <w:spacing w:after="100"/>
      <w:ind w:left="709" w:hanging="567"/>
    </w:pPr>
  </w:style>
  <w:style w:type="character" w:styleId="Hipervnculo">
    <w:name w:val="Hyperlink"/>
    <w:basedOn w:val="Fuentedeprrafopredeter"/>
    <w:uiPriority w:val="99"/>
    <w:unhideWhenUsed/>
    <w:rsid w:val="0032588B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C45C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C45C7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AC45C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45C7"/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793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7931"/>
    <w:rPr>
      <w:rFonts w:ascii="Tahoma" w:eastAsiaTheme="minorEastAsia" w:hAnsi="Tahoma" w:cs="Tahoma"/>
      <w:sz w:val="16"/>
      <w:szCs w:val="16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C047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_tradnl" w:eastAsia="es-ES"/>
    </w:rPr>
  </w:style>
  <w:style w:type="paragraph" w:customStyle="1" w:styleId="Ttulo11">
    <w:name w:val="Título 11"/>
    <w:basedOn w:val="Normal"/>
    <w:rsid w:val="000C0470"/>
    <w:pPr>
      <w:numPr>
        <w:numId w:val="23"/>
      </w:numPr>
    </w:pPr>
  </w:style>
  <w:style w:type="paragraph" w:customStyle="1" w:styleId="Ttulo21">
    <w:name w:val="Título 21"/>
    <w:basedOn w:val="Normal"/>
    <w:rsid w:val="000C0470"/>
    <w:pPr>
      <w:numPr>
        <w:ilvl w:val="1"/>
        <w:numId w:val="23"/>
      </w:numPr>
    </w:pPr>
  </w:style>
  <w:style w:type="paragraph" w:customStyle="1" w:styleId="Ttulo31">
    <w:name w:val="Título 31"/>
    <w:basedOn w:val="Normal"/>
    <w:rsid w:val="000C0470"/>
    <w:pPr>
      <w:numPr>
        <w:ilvl w:val="2"/>
        <w:numId w:val="23"/>
      </w:numPr>
    </w:pPr>
  </w:style>
  <w:style w:type="paragraph" w:customStyle="1" w:styleId="Ttulo41">
    <w:name w:val="Título 41"/>
    <w:basedOn w:val="Normal"/>
    <w:rsid w:val="000C0470"/>
    <w:pPr>
      <w:numPr>
        <w:ilvl w:val="3"/>
        <w:numId w:val="23"/>
      </w:numPr>
    </w:pPr>
  </w:style>
  <w:style w:type="paragraph" w:customStyle="1" w:styleId="Ttulo51">
    <w:name w:val="Título 51"/>
    <w:basedOn w:val="Normal"/>
    <w:rsid w:val="000C0470"/>
    <w:pPr>
      <w:numPr>
        <w:ilvl w:val="4"/>
        <w:numId w:val="23"/>
      </w:numPr>
    </w:pPr>
  </w:style>
  <w:style w:type="paragraph" w:customStyle="1" w:styleId="Ttulo61">
    <w:name w:val="Título 61"/>
    <w:basedOn w:val="Normal"/>
    <w:rsid w:val="000C0470"/>
    <w:pPr>
      <w:numPr>
        <w:ilvl w:val="5"/>
        <w:numId w:val="23"/>
      </w:numPr>
    </w:pPr>
  </w:style>
  <w:style w:type="paragraph" w:customStyle="1" w:styleId="Ttulo71">
    <w:name w:val="Título 71"/>
    <w:basedOn w:val="Normal"/>
    <w:rsid w:val="000C0470"/>
    <w:pPr>
      <w:numPr>
        <w:ilvl w:val="6"/>
        <w:numId w:val="23"/>
      </w:numPr>
    </w:pPr>
  </w:style>
  <w:style w:type="paragraph" w:customStyle="1" w:styleId="Ttulo81">
    <w:name w:val="Título 81"/>
    <w:basedOn w:val="Normal"/>
    <w:rsid w:val="000C0470"/>
    <w:pPr>
      <w:numPr>
        <w:ilvl w:val="7"/>
        <w:numId w:val="23"/>
      </w:numPr>
    </w:pPr>
  </w:style>
  <w:style w:type="paragraph" w:customStyle="1" w:styleId="Ttulo91">
    <w:name w:val="Título 91"/>
    <w:basedOn w:val="Normal"/>
    <w:rsid w:val="000C0470"/>
    <w:pPr>
      <w:numPr>
        <w:ilvl w:val="8"/>
        <w:numId w:val="23"/>
      </w:numPr>
    </w:pPr>
  </w:style>
  <w:style w:type="paragraph" w:styleId="TDC3">
    <w:name w:val="toc 3"/>
    <w:basedOn w:val="Normal"/>
    <w:next w:val="Normal"/>
    <w:autoRedefine/>
    <w:uiPriority w:val="39"/>
    <w:unhideWhenUsed/>
    <w:rsid w:val="0054409D"/>
    <w:pPr>
      <w:tabs>
        <w:tab w:val="left" w:pos="1134"/>
        <w:tab w:val="right" w:leader="dot" w:pos="9394"/>
      </w:tabs>
      <w:spacing w:after="100"/>
      <w:ind w:left="1134" w:hanging="708"/>
    </w:pPr>
  </w:style>
  <w:style w:type="paragraph" w:customStyle="1" w:styleId="BodyText2Sgl">
    <w:name w:val="Body Text 2 Sgl"/>
    <w:basedOn w:val="Normal"/>
    <w:qFormat/>
    <w:rsid w:val="00EE52DF"/>
    <w:pPr>
      <w:spacing w:after="240"/>
      <w:ind w:firstLine="720"/>
    </w:pPr>
    <w:rPr>
      <w:rFonts w:eastAsiaTheme="minorHAnsi"/>
      <w:sz w:val="20"/>
      <w:lang w:val="en-US"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EE52DF"/>
    <w:pPr>
      <w:spacing w:after="120" w:line="259" w:lineRule="auto"/>
    </w:pPr>
    <w:rPr>
      <w:rFonts w:eastAsiaTheme="minorHAnsi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E52DF"/>
  </w:style>
  <w:style w:type="character" w:styleId="Refdecomentario">
    <w:name w:val="annotation reference"/>
    <w:basedOn w:val="Fuentedeprrafopredeter"/>
    <w:uiPriority w:val="99"/>
    <w:semiHidden/>
    <w:unhideWhenUsed/>
    <w:rsid w:val="00082E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82E6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82E65"/>
    <w:rPr>
      <w:rFonts w:eastAsiaTheme="minorEastAsia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82E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82E65"/>
    <w:rPr>
      <w:rFonts w:eastAsiaTheme="minorEastAsia"/>
      <w:b/>
      <w:bCs/>
      <w:sz w:val="20"/>
      <w:szCs w:val="20"/>
      <w:lang w:val="es-ES_tradnl" w:eastAsia="es-ES"/>
    </w:rPr>
  </w:style>
  <w:style w:type="paragraph" w:styleId="Revisin">
    <w:name w:val="Revision"/>
    <w:hidden/>
    <w:uiPriority w:val="99"/>
    <w:semiHidden/>
    <w:rsid w:val="0054409D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table" w:styleId="Tablanormal3">
    <w:name w:val="Plain Table 3"/>
    <w:basedOn w:val="Tablanormal"/>
    <w:uiPriority w:val="43"/>
    <w:rsid w:val="00FD31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FD317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9B0FE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86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diagramLayout" Target="diagrams/layout2.xml"/><Relationship Id="rId26" Type="http://schemas.openxmlformats.org/officeDocument/2006/relationships/chart" Target="charts/chart4.xml"/><Relationship Id="rId39" Type="http://schemas.openxmlformats.org/officeDocument/2006/relationships/diagramLayout" Target="diagrams/layout4.xml"/><Relationship Id="rId21" Type="http://schemas.microsoft.com/office/2007/relationships/diagramDrawing" Target="diagrams/drawing2.xml"/><Relationship Id="rId34" Type="http://schemas.openxmlformats.org/officeDocument/2006/relationships/chart" Target="charts/chart7.xml"/><Relationship Id="rId42" Type="http://schemas.microsoft.com/office/2007/relationships/diagramDrawing" Target="diagrams/drawing4.xml"/><Relationship Id="rId47" Type="http://schemas.openxmlformats.org/officeDocument/2006/relationships/diagramQuickStyle" Target="diagrams/quickStyle5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9" Type="http://schemas.openxmlformats.org/officeDocument/2006/relationships/diagramLayout" Target="diagrams/layout3.xml"/><Relationship Id="rId11" Type="http://schemas.openxmlformats.org/officeDocument/2006/relationships/diagramQuickStyle" Target="diagrams/quickStyle1.xml"/><Relationship Id="rId24" Type="http://schemas.openxmlformats.org/officeDocument/2006/relationships/header" Target="header2.xml"/><Relationship Id="rId32" Type="http://schemas.microsoft.com/office/2007/relationships/diagramDrawing" Target="diagrams/drawing3.xml"/><Relationship Id="rId37" Type="http://schemas.openxmlformats.org/officeDocument/2006/relationships/chart" Target="charts/chart10.xml"/><Relationship Id="rId40" Type="http://schemas.openxmlformats.org/officeDocument/2006/relationships/diagramQuickStyle" Target="diagrams/quickStyle4.xml"/><Relationship Id="rId45" Type="http://schemas.openxmlformats.org/officeDocument/2006/relationships/diagramData" Target="diagrams/data5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footer" Target="footer1.xml"/><Relationship Id="rId28" Type="http://schemas.openxmlformats.org/officeDocument/2006/relationships/diagramData" Target="diagrams/data3.xml"/><Relationship Id="rId36" Type="http://schemas.openxmlformats.org/officeDocument/2006/relationships/chart" Target="charts/chart9.xml"/><Relationship Id="rId49" Type="http://schemas.microsoft.com/office/2007/relationships/diagramDrawing" Target="diagrams/drawing5.xml"/><Relationship Id="rId10" Type="http://schemas.openxmlformats.org/officeDocument/2006/relationships/diagramLayout" Target="diagrams/layout1.xml"/><Relationship Id="rId19" Type="http://schemas.openxmlformats.org/officeDocument/2006/relationships/diagramQuickStyle" Target="diagrams/quickStyle2.xml"/><Relationship Id="rId31" Type="http://schemas.openxmlformats.org/officeDocument/2006/relationships/diagramColors" Target="diagrams/colors3.xml"/><Relationship Id="rId44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Relationship Id="rId22" Type="http://schemas.openxmlformats.org/officeDocument/2006/relationships/header" Target="header1.xml"/><Relationship Id="rId27" Type="http://schemas.openxmlformats.org/officeDocument/2006/relationships/chart" Target="charts/chart5.xml"/><Relationship Id="rId30" Type="http://schemas.openxmlformats.org/officeDocument/2006/relationships/diagramQuickStyle" Target="diagrams/quickStyle3.xml"/><Relationship Id="rId35" Type="http://schemas.openxmlformats.org/officeDocument/2006/relationships/chart" Target="charts/chart8.xml"/><Relationship Id="rId43" Type="http://schemas.openxmlformats.org/officeDocument/2006/relationships/chart" Target="charts/chart11.xml"/><Relationship Id="rId48" Type="http://schemas.openxmlformats.org/officeDocument/2006/relationships/diagramColors" Target="diagrams/colors5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Data" Target="diagrams/data2.xml"/><Relationship Id="rId25" Type="http://schemas.openxmlformats.org/officeDocument/2006/relationships/footer" Target="footer2.xml"/><Relationship Id="rId33" Type="http://schemas.openxmlformats.org/officeDocument/2006/relationships/chart" Target="charts/chart6.xml"/><Relationship Id="rId38" Type="http://schemas.openxmlformats.org/officeDocument/2006/relationships/diagramData" Target="diagrams/data4.xml"/><Relationship Id="rId46" Type="http://schemas.openxmlformats.org/officeDocument/2006/relationships/diagramLayout" Target="diagrams/layout5.xml"/><Relationship Id="rId20" Type="http://schemas.openxmlformats.org/officeDocument/2006/relationships/diagramColors" Target="diagrams/colors2.xml"/><Relationship Id="rId41" Type="http://schemas.openxmlformats.org/officeDocument/2006/relationships/diagramColors" Target="diagrams/colors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1.xml"/><Relationship Id="rId1" Type="http://schemas.microsoft.com/office/2011/relationships/chartStyle" Target="style11.xml"/><Relationship Id="rId5" Type="http://schemas.openxmlformats.org/officeDocument/2006/relationships/chartUserShapes" Target="../drawings/drawing9.xml"/><Relationship Id="rId4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chartUserShapes" Target="../drawings/drawing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5.xml"/><Relationship Id="rId1" Type="http://schemas.microsoft.com/office/2011/relationships/chartStyle" Target="style5.xml"/><Relationship Id="rId5" Type="http://schemas.openxmlformats.org/officeDocument/2006/relationships/chartUserShapes" Target="../drawings/drawing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chartUserShapes" Target="../drawings/drawing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s-GT" sz="1200"/>
              <a:t>Ingresos</a:t>
            </a:r>
            <a:r>
              <a:rPr lang="es-GT" sz="1200" baseline="0"/>
              <a:t> Totales</a:t>
            </a:r>
          </a:p>
          <a:p>
            <a:pPr>
              <a:defRPr sz="900">
                <a:solidFill>
                  <a:sysClr val="windowText" lastClr="000000"/>
                </a:solidFill>
              </a:defRPr>
            </a:pPr>
            <a:r>
              <a:rPr lang="es-GT" sz="1100" baseline="0"/>
              <a:t>Variación interanual acumulada al 30 de septiembre de cada año</a:t>
            </a:r>
          </a:p>
          <a:p>
            <a:pPr>
              <a:defRPr sz="900">
                <a:solidFill>
                  <a:sysClr val="windowText" lastClr="000000"/>
                </a:solidFill>
              </a:defRPr>
            </a:pPr>
            <a:r>
              <a:rPr lang="es-GT" sz="1000" b="0" baseline="0"/>
              <a:t>En porcentajes</a:t>
            </a:r>
            <a:endParaRPr lang="es-GT" sz="1000" b="0"/>
          </a:p>
        </c:rich>
      </c:tx>
      <c:layout>
        <c:manualLayout>
          <c:xMode val="edge"/>
          <c:yMode val="edge"/>
          <c:x val="0.18112548438047124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cap="none" spc="0" normalizeH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.11098347707722211"/>
          <c:y val="0.30924474964512333"/>
          <c:w val="1"/>
          <c:h val="0.48005629496621083"/>
        </c:manualLayout>
      </c:layout>
      <c:barChart>
        <c:barDir val="col"/>
        <c:grouping val="clustered"/>
        <c:varyColors val="0"/>
        <c:ser>
          <c:idx val="0"/>
          <c:order val="1"/>
          <c:tx>
            <c:strRef>
              <c:f>Hoja1!$D$1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6"/>
            </a:solidFill>
            <a:ln>
              <a:solidFill>
                <a:sysClr val="windowText" lastClr="000000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accent6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Hoja1!$A$2:$A$10</c:f>
              <c:strCache>
                <c:ptCount val="9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</c:strCache>
            </c:strRef>
          </c:cat>
          <c:val>
            <c:numRef>
              <c:f>Hoja1!$D$2:$D$10</c:f>
              <c:numCache>
                <c:formatCode>#,##0.0_ ;[Red]\-#,##0.0\ </c:formatCode>
                <c:ptCount val="9"/>
                <c:pt idx="0">
                  <c:v>4.8602299376198088</c:v>
                </c:pt>
                <c:pt idx="1">
                  <c:v>4.0985048319102768</c:v>
                </c:pt>
                <c:pt idx="2">
                  <c:v>4.7041206272829816</c:v>
                </c:pt>
                <c:pt idx="3">
                  <c:v>4.2596789207485664</c:v>
                </c:pt>
                <c:pt idx="4">
                  <c:v>4.6596170742949417</c:v>
                </c:pt>
                <c:pt idx="5">
                  <c:v>3.7475621685612026</c:v>
                </c:pt>
                <c:pt idx="6">
                  <c:v>4.890436419272004</c:v>
                </c:pt>
                <c:pt idx="7">
                  <c:v>5.0333956190303786</c:v>
                </c:pt>
                <c:pt idx="8">
                  <c:v>5.2953448616218424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D9-4984-901D-E1114F265272}"/>
            </c:ext>
          </c:extLst>
        </c:ser>
        <c:ser>
          <c:idx val="1"/>
          <c:order val="2"/>
          <c:tx>
            <c:strRef>
              <c:f>Hoja1!$C$1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5"/>
            </a:solidFill>
            <a:ln>
              <a:solidFill>
                <a:sysClr val="windowText" lastClr="000000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accent5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Hoja1!$A$2:$A$10</c:f>
              <c:strCache>
                <c:ptCount val="9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</c:strCache>
            </c:strRef>
          </c:cat>
          <c:val>
            <c:numRef>
              <c:f>Hoja1!$C$2:$C$10</c:f>
              <c:numCache>
                <c:formatCode>#,##0.0_ ;[Red]\-#,##0.0\ </c:formatCode>
                <c:ptCount val="9"/>
                <c:pt idx="0">
                  <c:v>9.3979182442180953</c:v>
                </c:pt>
                <c:pt idx="1">
                  <c:v>8.9608554268839846</c:v>
                </c:pt>
                <c:pt idx="2">
                  <c:v>-3.027054181871891</c:v>
                </c:pt>
                <c:pt idx="3">
                  <c:v>0.90477629404430715</c:v>
                </c:pt>
                <c:pt idx="4">
                  <c:v>-3.4540328370828877</c:v>
                </c:pt>
                <c:pt idx="5">
                  <c:v>-5.1003803278290789</c:v>
                </c:pt>
                <c:pt idx="6">
                  <c:v>-6.3536071713508946</c:v>
                </c:pt>
                <c:pt idx="7">
                  <c:v>-7.0042301915600902</c:v>
                </c:pt>
                <c:pt idx="8">
                  <c:v>-6.423636281388811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D9-4984-901D-E1114F2652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09281743"/>
        <c:axId val="344873055"/>
      </c:barChart>
      <c:lineChart>
        <c:grouping val="standard"/>
        <c:varyColors val="0"/>
        <c:ser>
          <c:idx val="2"/>
          <c:order val="0"/>
          <c:tx>
            <c:strRef>
              <c:f>Hoja1!$B$1</c:f>
              <c:strCache>
                <c:ptCount val="1"/>
                <c:pt idx="0">
                  <c:v>2021*</c:v>
                </c:pt>
              </c:strCache>
            </c:strRef>
          </c:tx>
          <c:spPr>
            <a:ln w="25400" cap="rnd">
              <a:solidFill>
                <a:schemeClr val="accent4"/>
              </a:solidFill>
              <a:round/>
              <a:tailEnd type="triangle"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marker>
            <c:symbol val="diamond"/>
            <c:size val="7"/>
            <c:spPr>
              <a:solidFill>
                <a:schemeClr val="lt1"/>
              </a:solidFill>
              <a:ln w="15875">
                <a:solidFill>
                  <a:schemeClr val="accent4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3.9263822791381887E-2"/>
                  <c:y val="-6.67407915040816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98F-4D19-9CDB-2A18BD344173}"/>
                </c:ext>
              </c:extLst>
            </c:dLbl>
            <c:dLbl>
              <c:idx val="1"/>
              <c:layout>
                <c:manualLayout>
                  <c:x val="-3.0472614000173055E-2"/>
                  <c:y val="3.39104814384880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98F-4D19-9CDB-2A18BD344173}"/>
                </c:ext>
              </c:extLst>
            </c:dLbl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Hoja1!$A$2:$A$10</c:f>
              <c:strCache>
                <c:ptCount val="9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</c:strCache>
            </c:strRef>
          </c:cat>
          <c:val>
            <c:numRef>
              <c:f>Hoja1!$B$2:$B$10</c:f>
              <c:numCache>
                <c:formatCode>#,##0.0_ ;[Red]\-#,##0.0\ </c:formatCode>
                <c:ptCount val="9"/>
                <c:pt idx="0">
                  <c:v>4.05267118249375</c:v>
                </c:pt>
                <c:pt idx="1">
                  <c:v>6.0183213359062515</c:v>
                </c:pt>
                <c:pt idx="2">
                  <c:v>20.618298205478268</c:v>
                </c:pt>
                <c:pt idx="3">
                  <c:v>17.988467210960792</c:v>
                </c:pt>
                <c:pt idx="4">
                  <c:v>22.164081983181116</c:v>
                </c:pt>
                <c:pt idx="5">
                  <c:v>24.509712192911358</c:v>
                </c:pt>
                <c:pt idx="6">
                  <c:v>27.377743224134111</c:v>
                </c:pt>
                <c:pt idx="7">
                  <c:v>27.966403633258196</c:v>
                </c:pt>
                <c:pt idx="8">
                  <c:v>27.360722415009555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5-E2D9-4984-901D-E1114F2652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9281743"/>
        <c:axId val="344873055"/>
      </c:lineChart>
      <c:catAx>
        <c:axId val="150928174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344873055"/>
        <c:crosses val="autoZero"/>
        <c:auto val="1"/>
        <c:lblAlgn val="ctr"/>
        <c:lblOffset val="100"/>
        <c:noMultiLvlLbl val="0"/>
      </c:catAx>
      <c:valAx>
        <c:axId val="3448730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#,##0_ ;[Red]\-#,##0\ 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509281743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3243949766657326"/>
          <c:y val="0.90198075779818754"/>
          <c:w val="0.6715112918577486"/>
          <c:h val="9.30246516019270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GT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4">
    <c:autoUpdate val="0"/>
  </c:externalData>
  <c:userShapes r:id="rId5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n-US" sz="900" b="1">
                <a:solidFill>
                  <a:schemeClr val="tx1"/>
                </a:solidFill>
              </a:rPr>
              <a:t>Por tipo de intrumento 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n-US" sz="900" b="1">
                <a:solidFill>
                  <a:schemeClr val="tx1"/>
                </a:solidFill>
              </a:rPr>
              <a:t>Cifra acumulada</a:t>
            </a:r>
          </a:p>
        </c:rich>
      </c:tx>
      <c:layout>
        <c:manualLayout>
          <c:xMode val="edge"/>
          <c:yMode val="edge"/>
          <c:x val="0.24247808794645748"/>
          <c:y val="4.453592907185814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cap="none" spc="0" normalizeH="0" baseline="0">
              <a:solidFill>
                <a:schemeClr val="tx1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.37212131438965096"/>
          <c:y val="0.19398945997891995"/>
          <c:w val="0.48347280786263541"/>
          <c:h val="0.70011036022072048"/>
        </c:manualLayout>
      </c:layout>
      <c:barChart>
        <c:barDir val="bar"/>
        <c:grouping val="clustered"/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Diciembre</c:v>
                </c:pt>
              </c:strCache>
            </c:strRef>
          </c:tx>
          <c:spPr>
            <a:ln>
              <a:solidFill>
                <a:schemeClr val="tx1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F44-4C92-821A-7F028F1FD3E9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F44-4C92-821A-7F028F1FD3E9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29F-472F-91A8-BB37D81BC0C6}"/>
              </c:ext>
            </c:extLst>
          </c:dPt>
          <c:dLbls>
            <c:dLbl>
              <c:idx val="0"/>
              <c:layout>
                <c:manualLayout>
                  <c:x val="-9.9676052828309835E-3"/>
                  <c:y val="-1.1548423022077977E-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F44-4C92-821A-7F028F1FD3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Hoja1!$A$2:$A$4</c:f>
              <c:strCache>
                <c:ptCount val="3"/>
                <c:pt idx="0">
                  <c:v>Titulos de Deuda</c:v>
                </c:pt>
                <c:pt idx="1">
                  <c:v>Prestamos</c:v>
                </c:pt>
                <c:pt idx="2">
                  <c:v>Otras cuentas por pagar</c:v>
                </c:pt>
              </c:strCache>
            </c:strRef>
          </c:cat>
          <c:val>
            <c:numRef>
              <c:f>Hoja1!$B$2:$B$4</c:f>
              <c:numCache>
                <c:formatCode>#,##0.0_ ;[Red]\-#,##0.0\ </c:formatCode>
                <c:ptCount val="3"/>
                <c:pt idx="0">
                  <c:v>16216.8</c:v>
                </c:pt>
                <c:pt idx="1">
                  <c:v>-1955.1</c:v>
                </c:pt>
                <c:pt idx="2">
                  <c:v>-487.7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B5-4ECC-B1F9-B9EE3AEC1E4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9"/>
        <c:overlap val="-48"/>
        <c:axId val="152972768"/>
        <c:axId val="152984368"/>
      </c:barChart>
      <c:catAx>
        <c:axId val="152972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0"/>
          <a:lstStyle/>
          <a:p>
            <a:pPr>
              <a:defRPr sz="9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52984368"/>
        <c:crosses val="autoZero"/>
        <c:auto val="1"/>
        <c:lblAlgn val="ctr"/>
        <c:lblOffset val="100"/>
        <c:noMultiLvlLbl val="0"/>
      </c:catAx>
      <c:valAx>
        <c:axId val="152984368"/>
        <c:scaling>
          <c:orientation val="minMax"/>
          <c:min val="-100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#,##0_ ;[Red]\-#,##0\ 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52972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s-GT" sz="1200" b="1" i="0" baseline="0">
                <a:effectLst/>
              </a:rPr>
              <a:t>Erogaciones por Función del Gobierno</a:t>
            </a:r>
            <a:endParaRPr lang="es-GT" sz="1200">
              <a:effectLst/>
            </a:endParaRPr>
          </a:p>
          <a:p>
            <a:pPr>
              <a:defRPr sz="1200">
                <a:solidFill>
                  <a:sysClr val="windowText" lastClr="000000"/>
                </a:solidFill>
              </a:defRPr>
            </a:pPr>
            <a:r>
              <a:rPr lang="es-GT" sz="1100" b="1" i="0" baseline="0">
                <a:effectLst/>
              </a:rPr>
              <a:t>Variaciones interanuales acumuladas a septiembre 2021* </a:t>
            </a:r>
            <a:endParaRPr lang="es-GT" sz="1100">
              <a:effectLst/>
            </a:endParaRPr>
          </a:p>
          <a:p>
            <a:pPr>
              <a:defRPr sz="1200">
                <a:solidFill>
                  <a:sysClr val="windowText" lastClr="000000"/>
                </a:solidFill>
              </a:defRPr>
            </a:pPr>
            <a:r>
              <a:rPr lang="es-GT" sz="1000" b="0" i="0" baseline="0">
                <a:effectLst/>
              </a:rPr>
              <a:t>En millones de quetzales</a:t>
            </a:r>
            <a:endParaRPr lang="es-GT" sz="1000">
              <a:effectLst/>
            </a:endParaRPr>
          </a:p>
        </c:rich>
      </c:tx>
      <c:layout>
        <c:manualLayout>
          <c:xMode val="edge"/>
          <c:yMode val="edge"/>
          <c:x val="0.2394675925925925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0" normalizeH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.31064468503937009"/>
          <c:y val="0.17042594560649243"/>
          <c:w val="0.68935531496062996"/>
          <c:h val="0.7358113738466739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2021*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ysClr val="windowText" lastClr="000000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0"/>
                  <c:y val="-3.56362600682854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039-4722-A2D7-27B284455757}"/>
                </c:ext>
              </c:extLst>
            </c:dLbl>
            <c:dLbl>
              <c:idx val="3"/>
              <c:layout>
                <c:manualLayout>
                  <c:x val="0"/>
                  <c:y val="1.32333480370532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039-4722-A2D7-27B284455757}"/>
                </c:ext>
              </c:extLst>
            </c:dLbl>
            <c:dLbl>
              <c:idx val="9"/>
              <c:layout>
                <c:manualLayout>
                  <c:x val="-6.944444444444402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039-4722-A2D7-27B284455757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accen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Hoja1!$A$2:$A$11</c:f>
              <c:strCache>
                <c:ptCount val="10"/>
                <c:pt idx="0">
                  <c:v>Salud </c:v>
                </c:pt>
                <c:pt idx="1">
                  <c:v>Servicios públicos generales </c:v>
                </c:pt>
                <c:pt idx="2">
                  <c:v>Asuntos económicos </c:v>
                </c:pt>
                <c:pt idx="3">
                  <c:v>Orden público y seguridad </c:v>
                </c:pt>
                <c:pt idx="4">
                  <c:v>Educación </c:v>
                </c:pt>
                <c:pt idx="5">
                  <c:v>Vivienda y servicios comunitarios </c:v>
                </c:pt>
                <c:pt idx="6">
                  <c:v>Actividades recreativas, cultura y religión </c:v>
                </c:pt>
                <c:pt idx="7">
                  <c:v>Protección del medio ambiente </c:v>
                </c:pt>
                <c:pt idx="8">
                  <c:v>Defensa </c:v>
                </c:pt>
                <c:pt idx="9">
                  <c:v>Protección social </c:v>
                </c:pt>
              </c:strCache>
            </c:strRef>
          </c:cat>
          <c:val>
            <c:numRef>
              <c:f>Hoja1!$B$2:$B$11</c:f>
              <c:numCache>
                <c:formatCode>_(* #,##0.00_);_(* \(#,##0.00\);_(* "-"??_);_(@_)</c:formatCode>
                <c:ptCount val="10"/>
                <c:pt idx="0">
                  <c:v>1556.6074208999999</c:v>
                </c:pt>
                <c:pt idx="1">
                  <c:v>1433.6766898000005</c:v>
                </c:pt>
                <c:pt idx="2">
                  <c:v>1265.5649096999996</c:v>
                </c:pt>
                <c:pt idx="3">
                  <c:v>543.51332649999858</c:v>
                </c:pt>
                <c:pt idx="4">
                  <c:v>428.96076555999934</c:v>
                </c:pt>
                <c:pt idx="5">
                  <c:v>265.44168282999999</c:v>
                </c:pt>
                <c:pt idx="6">
                  <c:v>104.18233009000005</c:v>
                </c:pt>
                <c:pt idx="7">
                  <c:v>76.666482649999921</c:v>
                </c:pt>
                <c:pt idx="8">
                  <c:v>66.79150060000029</c:v>
                </c:pt>
                <c:pt idx="9">
                  <c:v>-6398.2615423999996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039-4722-A2D7-27B284455757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ysClr val="windowText" lastClr="000000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1"/>
              <c:layout>
                <c:manualLayout>
                  <c:x val="0"/>
                  <c:y val="-4.41111601235128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039-4722-A2D7-27B284455757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accent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Hoja1!$A$2:$A$11</c:f>
              <c:strCache>
                <c:ptCount val="10"/>
                <c:pt idx="0">
                  <c:v>Salud </c:v>
                </c:pt>
                <c:pt idx="1">
                  <c:v>Servicios públicos generales </c:v>
                </c:pt>
                <c:pt idx="2">
                  <c:v>Asuntos económicos </c:v>
                </c:pt>
                <c:pt idx="3">
                  <c:v>Orden público y seguridad </c:v>
                </c:pt>
                <c:pt idx="4">
                  <c:v>Educación </c:v>
                </c:pt>
                <c:pt idx="5">
                  <c:v>Vivienda y servicios comunitarios </c:v>
                </c:pt>
                <c:pt idx="6">
                  <c:v>Actividades recreativas, cultura y religión </c:v>
                </c:pt>
                <c:pt idx="7">
                  <c:v>Protección del medio ambiente </c:v>
                </c:pt>
                <c:pt idx="8">
                  <c:v>Defensa </c:v>
                </c:pt>
                <c:pt idx="9">
                  <c:v>Protección social </c:v>
                </c:pt>
              </c:strCache>
            </c:strRef>
          </c:cat>
          <c:val>
            <c:numRef>
              <c:f>Hoja1!$C$2:$C$11</c:f>
              <c:numCache>
                <c:formatCode>_(* #,##0.00_);_(* \(#,##0.00\);_(* "-"??_);_(@_)</c:formatCode>
                <c:ptCount val="10"/>
                <c:pt idx="0">
                  <c:v>-63.175202070000523</c:v>
                </c:pt>
                <c:pt idx="1">
                  <c:v>629.38577062000149</c:v>
                </c:pt>
                <c:pt idx="2">
                  <c:v>-601.93859984000028</c:v>
                </c:pt>
                <c:pt idx="3">
                  <c:v>260.88509133000207</c:v>
                </c:pt>
                <c:pt idx="4">
                  <c:v>271.492959170002</c:v>
                </c:pt>
                <c:pt idx="5">
                  <c:v>-475.34257049000098</c:v>
                </c:pt>
                <c:pt idx="6">
                  <c:v>-121.13157065999997</c:v>
                </c:pt>
                <c:pt idx="7">
                  <c:v>-7.8654726999999411</c:v>
                </c:pt>
                <c:pt idx="8">
                  <c:v>-11.785642510000116</c:v>
                </c:pt>
                <c:pt idx="9">
                  <c:v>6259.0926684499991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039-4722-A2D7-27B2844557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7"/>
        <c:axId val="1170388288"/>
        <c:axId val="1181658512"/>
      </c:barChart>
      <c:catAx>
        <c:axId val="1170388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181658512"/>
        <c:crosses val="autoZero"/>
        <c:auto val="1"/>
        <c:lblAlgn val="ctr"/>
        <c:lblOffset val="100"/>
        <c:noMultiLvlLbl val="0"/>
      </c:catAx>
      <c:valAx>
        <c:axId val="1181658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_ ;[Red]\-#,##0\ 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170388288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35340769903762032"/>
          <c:y val="0.85591663422628883"/>
          <c:w val="0.21279593175853018"/>
          <c:h val="8.21770195392242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GT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4">
    <c:autoUpdate val="0"/>
  </c:externalData>
  <c:userShapes r:id="rId5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s-MX" sz="1100" b="1" i="0">
                <a:effectLst/>
              </a:rPr>
              <a:t>𝐆𝐫𝐚𝐝𝐨 𝐝𝐞 𝐄𝐣𝐞𝐜𝐮𝐜𝐢ó𝐧 𝐩𝐨𝐫 𝐄𝐧𝐭𝐢𝐝𝐚𝐝 </a:t>
            </a:r>
            <a:r>
              <a:rPr lang="es-MX" sz="1100" b="1" i="0" baseline="30000">
                <a:effectLst/>
              </a:rPr>
              <a:t>𝟏/</a:t>
            </a:r>
            <a:endParaRPr lang="es-GT" sz="1100" baseline="30000">
              <a:effectLst/>
            </a:endParaRPr>
          </a:p>
          <a:p>
            <a:pPr>
              <a:defRPr/>
            </a:pPr>
            <a:r>
              <a:rPr lang="es-MX" sz="1050" b="1">
                <a:effectLst/>
              </a:rPr>
              <a:t>Cifras a septiembre de 2021*</a:t>
            </a:r>
            <a:endParaRPr lang="es-GT" sz="1050">
              <a:effectLst/>
            </a:endParaRPr>
          </a:p>
          <a:p>
            <a:pPr>
              <a:defRPr/>
            </a:pPr>
            <a:r>
              <a:rPr lang="es-MX" sz="1000">
                <a:effectLst/>
              </a:rPr>
              <a:t>En porcentajes</a:t>
            </a:r>
            <a:endParaRPr lang="es-GT" sz="1000">
              <a:effectLst/>
            </a:endParaRPr>
          </a:p>
        </c:rich>
      </c:tx>
      <c:layout>
        <c:manualLayout>
          <c:xMode val="edge"/>
          <c:yMode val="edge"/>
          <c:x val="0.2716574363071340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3.1991828085117906E-2"/>
          <c:y val="0.13600984463928625"/>
          <c:w val="0.96086113161048337"/>
          <c:h val="0.624405861241100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E88B-4F95-A036-45FFE680B378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  <c:extLst>
              <c:ext xmlns:c16="http://schemas.microsoft.com/office/drawing/2014/chart" uri="{C3380CC4-5D6E-409C-BE32-E72D297353CC}">
                <c16:uniqueId val="{00000006-E5B4-46F5-AAA0-FE027B6CA179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1533-4996-8C0A-D667145177DA}"/>
              </c:ext>
            </c:extLst>
          </c:dPt>
          <c:dPt>
            <c:idx val="1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E88B-4F95-A036-45FFE680B378}"/>
              </c:ext>
            </c:extLst>
          </c:dPt>
          <c:dPt>
            <c:idx val="1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E88B-4F95-A036-45FFE680B378}"/>
              </c:ext>
            </c:extLst>
          </c:dPt>
          <c:dLbls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E5B4-46F5-AAA0-FE027B6CA1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Sheet1!$A$2:$A$21</c:f>
              <c:strCache>
                <c:ptCount val="20"/>
                <c:pt idx="0">
                  <c:v>Obligaciones </c:v>
                </c:pt>
                <c:pt idx="1">
                  <c:v>Economía</c:v>
                </c:pt>
                <c:pt idx="2">
                  <c:v>Cultura</c:v>
                </c:pt>
                <c:pt idx="3">
                  <c:v>Secretarías</c:v>
                </c:pt>
                <c:pt idx="4">
                  <c:v>Agricultura</c:v>
                </c:pt>
                <c:pt idx="5">
                  <c:v>Energía</c:v>
                </c:pt>
                <c:pt idx="6">
                  <c:v>Comunicaciones</c:v>
                </c:pt>
                <c:pt idx="7">
                  <c:v>Presidencia</c:v>
                </c:pt>
                <c:pt idx="8">
                  <c:v>Total</c:v>
                </c:pt>
                <c:pt idx="9">
                  <c:v>Finanzas</c:v>
                </c:pt>
                <c:pt idx="10">
                  <c:v>Defensa </c:v>
                </c:pt>
                <c:pt idx="11">
                  <c:v>Desarrollo</c:v>
                </c:pt>
                <c:pt idx="12">
                  <c:v>Trabajo </c:v>
                </c:pt>
                <c:pt idx="13">
                  <c:v>Ambiente </c:v>
                </c:pt>
                <c:pt idx="14">
                  <c:v>MINREX</c:v>
                </c:pt>
                <c:pt idx="15">
                  <c:v>Salud Pública </c:v>
                </c:pt>
                <c:pt idx="16">
                  <c:v>Deuda Pública</c:v>
                </c:pt>
                <c:pt idx="17">
                  <c:v>Gobernación</c:v>
                </c:pt>
                <c:pt idx="18">
                  <c:v>Educación </c:v>
                </c:pt>
                <c:pt idx="19">
                  <c:v>PGN</c:v>
                </c:pt>
              </c:strCache>
            </c:strRef>
          </c:cat>
          <c:val>
            <c:numRef>
              <c:f>Sheet1!$B$2:$B$21</c:f>
              <c:numCache>
                <c:formatCode>0.0</c:formatCode>
                <c:ptCount val="20"/>
                <c:pt idx="0">
                  <c:v>48.172466493944412</c:v>
                </c:pt>
                <c:pt idx="1">
                  <c:v>51.218348987747866</c:v>
                </c:pt>
                <c:pt idx="2">
                  <c:v>51.897921219493895</c:v>
                </c:pt>
                <c:pt idx="3">
                  <c:v>52.476354173107879</c:v>
                </c:pt>
                <c:pt idx="4">
                  <c:v>56.476784375007085</c:v>
                </c:pt>
                <c:pt idx="5">
                  <c:v>58.131782642571395</c:v>
                </c:pt>
                <c:pt idx="6">
                  <c:v>59.462970544971363</c:v>
                </c:pt>
                <c:pt idx="7">
                  <c:v>59.615263699731905</c:v>
                </c:pt>
                <c:pt idx="8">
                  <c:v>59.93469597939999</c:v>
                </c:pt>
                <c:pt idx="9">
                  <c:v>60.202722339422522</c:v>
                </c:pt>
                <c:pt idx="10">
                  <c:v>62.19694222442704</c:v>
                </c:pt>
                <c:pt idx="11">
                  <c:v>62.590135150631234</c:v>
                </c:pt>
                <c:pt idx="12">
                  <c:v>65.394978121227908</c:v>
                </c:pt>
                <c:pt idx="13">
                  <c:v>66.084542059572911</c:v>
                </c:pt>
                <c:pt idx="14">
                  <c:v>66.262611365477298</c:v>
                </c:pt>
                <c:pt idx="15">
                  <c:v>69.36320471224748</c:v>
                </c:pt>
                <c:pt idx="16">
                  <c:v>69.76664900650195</c:v>
                </c:pt>
                <c:pt idx="17">
                  <c:v>70.669513441138534</c:v>
                </c:pt>
                <c:pt idx="18">
                  <c:v>71.207319834694744</c:v>
                </c:pt>
                <c:pt idx="19">
                  <c:v>72.171434215693338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88B-4F95-A036-45FFE680B3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9"/>
        <c:axId val="584502968"/>
        <c:axId val="584496080"/>
      </c:barChart>
      <c:catAx>
        <c:axId val="584502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584496080"/>
        <c:crosses val="autoZero"/>
        <c:auto val="1"/>
        <c:lblAlgn val="ctr"/>
        <c:lblOffset val="100"/>
        <c:noMultiLvlLbl val="0"/>
      </c:catAx>
      <c:valAx>
        <c:axId val="584496080"/>
        <c:scaling>
          <c:orientation val="minMax"/>
        </c:scaling>
        <c:delete val="0"/>
        <c:axPos val="l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584502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n-US" sz="1200" b="1">
                <a:solidFill>
                  <a:sysClr val="windowText" lastClr="000000"/>
                </a:solidFill>
              </a:rPr>
              <a:t>Ingresos Totales por clasificación MEFP</a:t>
            </a:r>
          </a:p>
          <a:p>
            <a:pPr>
              <a:defRPr/>
            </a:pPr>
            <a:r>
              <a:rPr lang="en-US" sz="1100" b="1">
                <a:solidFill>
                  <a:sysClr val="windowText" lastClr="000000"/>
                </a:solidFill>
              </a:rPr>
              <a:t>Variación interanual acumulada a septiembre 2021*</a:t>
            </a:r>
          </a:p>
          <a:p>
            <a:pPr>
              <a:defRPr/>
            </a:pPr>
            <a:r>
              <a:rPr lang="en-US" sz="1000" b="0">
                <a:solidFill>
                  <a:sysClr val="windowText" lastClr="000000"/>
                </a:solidFill>
              </a:rPr>
              <a:t>En millones de Quetzales</a:t>
            </a:r>
          </a:p>
        </c:rich>
      </c:tx>
      <c:layout>
        <c:manualLayout>
          <c:xMode val="edge"/>
          <c:yMode val="edge"/>
          <c:x val="0.26254132099927324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4.0408336877924285E-2"/>
          <c:y val="0.34659124681169312"/>
          <c:w val="0.94778901254952663"/>
          <c:h val="0.5251645182676510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Diferencia acumulada en Q</c:v>
                </c:pt>
              </c:strCache>
            </c:strRef>
          </c:tx>
          <c:spPr>
            <a:solidFill>
              <a:srgbClr val="1F497D"/>
            </a:solidFill>
            <a:ln>
              <a:solidFill>
                <a:schemeClr val="tx1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1"/>
          <c:dPt>
            <c:idx val="0"/>
            <c:invertIfNegative val="1"/>
            <c:bubble3D val="0"/>
            <c:spPr>
              <a:solidFill>
                <a:schemeClr val="tx2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7A6-4C68-88CD-2C6CC3BED143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7A6-4C68-88CD-2C6CC3BED143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3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7A6-4C68-88CD-2C6CC3BED143}"/>
              </c:ext>
            </c:extLst>
          </c:dPt>
          <c:dLbls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G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87A6-4C68-88CD-2C6CC3BED1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accent5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Hoja1!$A$2:$A$6</c:f>
              <c:strCache>
                <c:ptCount val="5"/>
                <c:pt idx="0">
                  <c:v>Impuestos </c:v>
                </c:pt>
                <c:pt idx="1">
                  <c:v>Otros ingresos </c:v>
                </c:pt>
                <c:pt idx="2">
                  <c:v>Contribuciones sociales </c:v>
                </c:pt>
                <c:pt idx="3">
                  <c:v>Donaciones </c:v>
                </c:pt>
                <c:pt idx="4">
                  <c:v>Ingresos Totales</c:v>
                </c:pt>
              </c:strCache>
            </c:strRef>
          </c:cat>
          <c:val>
            <c:numRef>
              <c:f>Hoja1!$B$2:$B$6</c:f>
              <c:numCache>
                <c:formatCode>#,##0.0_ ;[Red]\-#,##0.0\ </c:formatCode>
                <c:ptCount val="5"/>
                <c:pt idx="0">
                  <c:v>12468.5</c:v>
                </c:pt>
                <c:pt idx="1">
                  <c:v>290</c:v>
                </c:pt>
                <c:pt idx="2">
                  <c:v>106.1</c:v>
                </c:pt>
                <c:pt idx="3">
                  <c:v>78</c:v>
                </c:pt>
                <c:pt idx="4">
                  <c:v>12942.6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C0504D"/>
                  </a:solidFill>
                  <a:ln>
                    <a:solidFill>
                      <a:schemeClr val="tx1"/>
                    </a:solidFill>
                  </a:ln>
                  <a:effectLst>
                    <a:outerShdw blurRad="50800" dist="38100" dir="18900000" algn="bl" rotWithShape="0">
                      <a:prstClr val="black">
                        <a:alpha val="40000"/>
                      </a:prstClr>
                    </a:outerShdw>
                  </a:effectLst>
                </c14:spPr>
              </c14:invertSolidFillFmt>
            </c:ext>
            <c:ext xmlns:c16="http://schemas.microsoft.com/office/drawing/2014/chart" uri="{C3380CC4-5D6E-409C-BE32-E72D297353CC}">
              <c16:uniqueId val="{00000006-87A6-4C68-88CD-2C6CC3BED1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7"/>
        <c:axId val="415018800"/>
        <c:axId val="408568416"/>
      </c:barChart>
      <c:catAx>
        <c:axId val="4150188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408568416"/>
        <c:crosses val="autoZero"/>
        <c:auto val="1"/>
        <c:lblAlgn val="ctr"/>
        <c:lblOffset val="100"/>
        <c:noMultiLvlLbl val="0"/>
      </c:catAx>
      <c:valAx>
        <c:axId val="408568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_ ;[Red]\-#,##0\ 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415018800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s-GT" sz="1100" b="1" i="0" baseline="0">
                <a:effectLst/>
              </a:rPr>
              <a:t>Impuestos por clasificación MEFP</a:t>
            </a:r>
            <a:endParaRPr lang="es-GT" sz="1100">
              <a:effectLst/>
            </a:endParaRPr>
          </a:p>
          <a:p>
            <a:pPr>
              <a:defRPr b="0">
                <a:solidFill>
                  <a:sysClr val="windowText" lastClr="000000"/>
                </a:solidFill>
              </a:defRPr>
            </a:pPr>
            <a:r>
              <a:rPr lang="es-GT" sz="900" b="1" i="0" baseline="0">
                <a:effectLst/>
              </a:rPr>
              <a:t>Variación interanual acumulada a septiembre* </a:t>
            </a:r>
            <a:endParaRPr lang="es-GT" sz="900">
              <a:effectLst/>
            </a:endParaRPr>
          </a:p>
          <a:p>
            <a:pPr>
              <a:defRPr b="0">
                <a:solidFill>
                  <a:sysClr val="windowText" lastClr="000000"/>
                </a:solidFill>
              </a:defRPr>
            </a:pPr>
            <a:r>
              <a:rPr lang="es-GT" sz="1000" b="0" i="0" baseline="0">
                <a:effectLst/>
              </a:rPr>
              <a:t>En millones de quetzales</a:t>
            </a:r>
            <a:endParaRPr lang="es-GT" sz="1000">
              <a:effectLst/>
            </a:endParaRPr>
          </a:p>
        </c:rich>
      </c:tx>
      <c:layout>
        <c:manualLayout>
          <c:xMode val="edge"/>
          <c:yMode val="edge"/>
          <c:x val="0.12812953624242659"/>
          <c:y val="1.507715906490166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0" normalizeH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.53621789755024896"/>
          <c:y val="0.18337223765609675"/>
          <c:w val="0.49072644532906246"/>
          <c:h val="0.7009912383081551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2021*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ysClr val="windowText" lastClr="000000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00B0F0"/>
              </a:solidFill>
              <a:ln>
                <a:solidFill>
                  <a:sysClr val="windowText" lastClr="000000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667-4492-9669-3A5FD083E581}"/>
              </c:ext>
            </c:extLst>
          </c:dPt>
          <c:dLbls>
            <c:dLbl>
              <c:idx val="0"/>
              <c:layout>
                <c:manualLayout>
                  <c:x val="-8.3761439932368009E-2"/>
                  <c:y val="3.2821057367829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667-4492-9669-3A5FD083E581}"/>
                </c:ext>
              </c:extLst>
            </c:dLbl>
            <c:dLbl>
              <c:idx val="1"/>
              <c:layout>
                <c:manualLayout>
                  <c:x val="-2.345493330187659E-3"/>
                  <c:y val="-2.27768178633762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667-4492-9669-3A5FD083E581}"/>
                </c:ext>
              </c:extLst>
            </c:dLbl>
            <c:dLbl>
              <c:idx val="3"/>
              <c:layout>
                <c:manualLayout>
                  <c:x val="0"/>
                  <c:y val="1.39990667288846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55E-4A65-A85B-576CCAA7FD26}"/>
                </c:ext>
              </c:extLst>
            </c:dLbl>
            <c:dLbl>
              <c:idx val="5"/>
              <c:layout>
                <c:manualLayout>
                  <c:x val="-1.5258528129462164E-16"/>
                  <c:y val="9.33271115258982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55E-4A65-A85B-576CCAA7FD26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Hoja1!$A$2:$A$7</c:f>
              <c:strCache>
                <c:ptCount val="6"/>
                <c:pt idx="0">
                  <c:v>Impuestos Totales</c:v>
                </c:pt>
                <c:pt idx="1">
                  <c:v>Impuestos sobre los bienes y servicios </c:v>
                </c:pt>
                <c:pt idx="2">
                  <c:v>Impuestos sobre el ingreso, las utilidades y las ganancias de capital </c:v>
                </c:pt>
                <c:pt idx="3">
                  <c:v>Impuestos sobre el comercio y las transacciones internacionales </c:v>
                </c:pt>
                <c:pt idx="4">
                  <c:v>Otros impuestos </c:v>
                </c:pt>
                <c:pt idx="5">
                  <c:v>Impuestos sobre la propiedad </c:v>
                </c:pt>
              </c:strCache>
            </c:strRef>
          </c:cat>
          <c:val>
            <c:numRef>
              <c:f>Hoja1!$B$2:$B$7</c:f>
              <c:numCache>
                <c:formatCode>#,##0.0_ ;[Red]\-#,##0.0\ </c:formatCode>
                <c:ptCount val="6"/>
                <c:pt idx="0" formatCode="_(* #,##0.00_);_(* \(#,##0.00\);_(* &quot;-&quot;??_);_(@_)">
                  <c:v>12468.50436348</c:v>
                </c:pt>
                <c:pt idx="1">
                  <c:v>7708.1141577000017</c:v>
                </c:pt>
                <c:pt idx="2">
                  <c:v>3778.78630428</c:v>
                </c:pt>
                <c:pt idx="3">
                  <c:v>855.00635491000025</c:v>
                </c:pt>
                <c:pt idx="4">
                  <c:v>116.57566509999998</c:v>
                </c:pt>
                <c:pt idx="5">
                  <c:v>10.021881490000002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667-4492-9669-3A5FD083E581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9BBB59"/>
            </a:solidFill>
            <a:ln>
              <a:solidFill>
                <a:sysClr val="windowText" lastClr="000000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ln>
                <a:solidFill>
                  <a:sysClr val="windowText" lastClr="000000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667-4492-9669-3A5FD083E581}"/>
              </c:ext>
            </c:extLst>
          </c:dPt>
          <c:dLbls>
            <c:dLbl>
              <c:idx val="0"/>
              <c:layout>
                <c:manualLayout>
                  <c:x val="-8.3226019968477716E-3"/>
                  <c:y val="-8.56915069916601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667-4492-9669-3A5FD083E581}"/>
                </c:ext>
              </c:extLst>
            </c:dLbl>
            <c:dLbl>
              <c:idx val="1"/>
              <c:layout>
                <c:manualLayout>
                  <c:x val="3.2767439650568024E-7"/>
                  <c:y val="4.68282933459587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667-4492-9669-3A5FD083E581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accent3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Hoja1!$A$2:$A$7</c:f>
              <c:strCache>
                <c:ptCount val="6"/>
                <c:pt idx="0">
                  <c:v>Impuestos Totales</c:v>
                </c:pt>
                <c:pt idx="1">
                  <c:v>Impuestos sobre los bienes y servicios </c:v>
                </c:pt>
                <c:pt idx="2">
                  <c:v>Impuestos sobre el ingreso, las utilidades y las ganancias de capital </c:v>
                </c:pt>
                <c:pt idx="3">
                  <c:v>Impuestos sobre el comercio y las transacciones internacionales </c:v>
                </c:pt>
                <c:pt idx="4">
                  <c:v>Otros impuestos </c:v>
                </c:pt>
                <c:pt idx="5">
                  <c:v>Impuestos sobre la propiedad </c:v>
                </c:pt>
              </c:strCache>
            </c:strRef>
          </c:cat>
          <c:val>
            <c:numRef>
              <c:f>Hoja1!$C$2:$C$7</c:f>
              <c:numCache>
                <c:formatCode>_(* #,##0.00_);_(* \(#,##0.00\);_(* "-"??_);_(@_)</c:formatCode>
                <c:ptCount val="6"/>
                <c:pt idx="0">
                  <c:v>-2932.6643511500056</c:v>
                </c:pt>
                <c:pt idx="1">
                  <c:v>-2261.6986721200046</c:v>
                </c:pt>
                <c:pt idx="2">
                  <c:v>-139.82789024000158</c:v>
                </c:pt>
                <c:pt idx="3">
                  <c:v>-433.83272430999955</c:v>
                </c:pt>
                <c:pt idx="4">
                  <c:v>-71.553408570000045</c:v>
                </c:pt>
                <c:pt idx="5">
                  <c:v>-25.75165591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667-4492-9669-3A5FD083E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7"/>
        <c:axId val="1916956256"/>
        <c:axId val="1924152624"/>
      </c:barChart>
      <c:catAx>
        <c:axId val="1916956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@" sourceLinked="0"/>
        <c:majorTickMark val="out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0"/>
          <a:lstStyle/>
          <a:p>
            <a:pPr>
              <a:defRPr sz="800" b="1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924152624"/>
        <c:crosses val="autoZero"/>
        <c:auto val="1"/>
        <c:lblAlgn val="ctr"/>
        <c:lblOffset val="100"/>
        <c:noMultiLvlLbl val="0"/>
      </c:catAx>
      <c:valAx>
        <c:axId val="1924152624"/>
        <c:scaling>
          <c:orientation val="minMax"/>
          <c:min val="-7000"/>
        </c:scaling>
        <c:delete val="1"/>
        <c:axPos val="b"/>
        <c:numFmt formatCode="_(* #,##0.00_);_(* \(#,##0.00\);_(* &quot;-&quot;??_);_(@_)" sourceLinked="1"/>
        <c:majorTickMark val="out"/>
        <c:minorTickMark val="none"/>
        <c:tickLblPos val="nextTo"/>
        <c:crossAx val="1916956256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533347409402481"/>
          <c:y val="0.15295097507383607"/>
          <c:w val="0.26273621228058097"/>
          <c:h val="0.100619783903685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GT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ln>
                  <a:noFill/>
                </a:ln>
                <a:solidFill>
                  <a:schemeClr val="dk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Gasto Total</a:t>
            </a:r>
            <a:endParaRPr lang="es-GT" sz="1100" b="1">
              <a:solidFill>
                <a:sysClr val="windowText" lastClr="000000"/>
              </a:solidFill>
              <a:effectLst/>
            </a:endParaRPr>
          </a:p>
          <a:p>
            <a:pPr>
              <a:defRPr>
                <a:ln>
                  <a:noFill/>
                </a:ln>
              </a:defRPr>
            </a:pPr>
            <a:r>
              <a:rPr lang="en-US" sz="1050" b="1" i="0" baseline="0">
                <a:solidFill>
                  <a:sysClr val="windowText" lastClr="000000"/>
                </a:solidFill>
                <a:effectLst/>
              </a:rPr>
              <a:t>Variación internanual acumulada 2020 - 2021</a:t>
            </a:r>
            <a:endParaRPr lang="es-GT" sz="1050" b="1">
              <a:solidFill>
                <a:sysClr val="windowText" lastClr="000000"/>
              </a:solidFill>
              <a:effectLst/>
            </a:endParaRPr>
          </a:p>
          <a:p>
            <a:pPr>
              <a:defRPr>
                <a:ln>
                  <a:noFill/>
                </a:ln>
              </a:defRPr>
            </a:pPr>
            <a:r>
              <a:rPr lang="en-US" sz="1000" b="0" i="0" baseline="0">
                <a:solidFill>
                  <a:sysClr val="windowText" lastClr="000000"/>
                </a:solidFill>
                <a:effectLst/>
              </a:rPr>
              <a:t>En porcentaje</a:t>
            </a:r>
            <a:endParaRPr lang="es-GT" sz="1000" b="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3261046054554210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ln>
                <a:noFill/>
              </a:ln>
              <a:solidFill>
                <a:schemeClr val="dk1">
                  <a:lumMod val="50000"/>
                  <a:lumOff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9.3777577066423937E-2"/>
          <c:y val="0.3309215194254565"/>
          <c:w val="0.90622242293357602"/>
          <c:h val="0.41786449770701739"/>
        </c:manualLayout>
      </c:layout>
      <c:barChart>
        <c:barDir val="col"/>
        <c:grouping val="clustered"/>
        <c:varyColors val="0"/>
        <c:ser>
          <c:idx val="0"/>
          <c:order val="1"/>
          <c:tx>
            <c:strRef>
              <c:f>Hoja1!$C$1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C0504D"/>
            </a:solidFill>
            <a:ln w="9525" cap="flat" cmpd="sng" algn="ctr">
              <a:solidFill>
                <a:sysClr val="windowText" lastClr="000000"/>
              </a:solidFill>
              <a:round/>
              <a:tailEnd type="triangle"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8.441208309494507E-4"/>
                  <c:y val="-4.11805078929307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8F5-45E4-925D-807B206F1490}"/>
                </c:ext>
              </c:extLst>
            </c:dLbl>
            <c:dLbl>
              <c:idx val="1"/>
              <c:layout>
                <c:manualLayout>
                  <c:x val="-4.4632894443204646E-3"/>
                  <c:y val="-6.86341798215511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8F5-45E4-925D-807B206F1490}"/>
                </c:ext>
              </c:extLst>
            </c:dLbl>
            <c:dLbl>
              <c:idx val="5"/>
              <c:layout>
                <c:manualLayout>
                  <c:x val="-1.6365205576923713E-16"/>
                  <c:y val="-7.54975978037062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8F5-45E4-925D-807B206F1490}"/>
                </c:ext>
              </c:extLst>
            </c:dLbl>
            <c:dLbl>
              <c:idx val="7"/>
              <c:layout>
                <c:manualLayout>
                  <c:x val="2.126754572522331E-3"/>
                  <c:y val="-3.41880341880342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E1D-4AC6-8713-E18D74BE5E81}"/>
                </c:ext>
              </c:extLst>
            </c:dLbl>
            <c:dLbl>
              <c:idx val="8"/>
              <c:layout>
                <c:manualLayout>
                  <c:x val="-6.3802637175669925E-3"/>
                  <c:y val="-6.83760683760683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E1D-4AC6-8713-E18D74BE5E81}"/>
                </c:ext>
              </c:extLst>
            </c:dLbl>
            <c:dLbl>
              <c:idx val="9"/>
              <c:layout>
                <c:manualLayout>
                  <c:x val="0"/>
                  <c:y val="-4.558404558404558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C0A-4D11-A436-5D5F21E0101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rgbClr val="C0504D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Hoja1!$A$2:$A$10</c:f>
              <c:strCache>
                <c:ptCount val="9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</c:strCache>
            </c:strRef>
          </c:cat>
          <c:val>
            <c:numRef>
              <c:f>Hoja1!$C$2:$C$10</c:f>
              <c:numCache>
                <c:formatCode>_-* #,##0.0_-;\-* #,##0.0_-;_-* "-"??_-;_-@_-</c:formatCode>
                <c:ptCount val="9"/>
                <c:pt idx="0">
                  <c:v>4.0199205175314168</c:v>
                </c:pt>
                <c:pt idx="1">
                  <c:v>2.3196152327942476</c:v>
                </c:pt>
                <c:pt idx="2">
                  <c:v>4.6791549582026803</c:v>
                </c:pt>
                <c:pt idx="3">
                  <c:v>0.54631956604684895</c:v>
                </c:pt>
                <c:pt idx="4">
                  <c:v>0.92851073135655771</c:v>
                </c:pt>
                <c:pt idx="5">
                  <c:v>7.0513269883000884</c:v>
                </c:pt>
                <c:pt idx="6">
                  <c:v>9.0876709044507962</c:v>
                </c:pt>
                <c:pt idx="7">
                  <c:v>11.37773552275827</c:v>
                </c:pt>
                <c:pt idx="8">
                  <c:v>13.413351956128427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F2-4B79-BA3C-8105E40095D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3"/>
        <c:axId val="1509281743"/>
        <c:axId val="344873055"/>
      </c:barChart>
      <c:lineChart>
        <c:grouping val="standard"/>
        <c:varyColors val="0"/>
        <c:ser>
          <c:idx val="2"/>
          <c:order val="0"/>
          <c:tx>
            <c:strRef>
              <c:f>Hoja1!$B$1</c:f>
              <c:strCache>
                <c:ptCount val="1"/>
                <c:pt idx="0">
                  <c:v>2021*</c:v>
                </c:pt>
              </c:strCache>
            </c:strRef>
          </c:tx>
          <c:spPr>
            <a:ln w="31750" cap="rnd" cmpd="sng" algn="ctr">
              <a:solidFill>
                <a:schemeClr val="accent4"/>
              </a:solidFill>
              <a:round/>
              <a:tailEnd type="triangle"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marker>
            <c:symbol val="circle"/>
            <c:size val="6"/>
            <c:spPr>
              <a:solidFill>
                <a:sysClr val="window" lastClr="FFFFFF"/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</c:marker>
          <c:dPt>
            <c:idx val="8"/>
            <c:marker>
              <c:symbol val="circle"/>
              <c:size val="6"/>
              <c:spPr>
                <a:solidFill>
                  <a:sysClr val="window" lastClr="FFFFFF"/>
                </a:solidFill>
                <a:ln w="9525" cap="flat" cmpd="sng" algn="ctr">
                  <a:solidFill>
                    <a:sysClr val="windowText" lastClr="000000"/>
                  </a:solidFill>
                  <a:round/>
                </a:ln>
                <a:effectLst>
                  <a:outerShdw blurRad="50800" dist="38100" dir="18900000" algn="bl" rotWithShape="0">
                    <a:prstClr val="black">
                      <a:alpha val="40000"/>
                    </a:prstClr>
                  </a:outerShdw>
                </a:effectLst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2-2E1D-4AC6-8713-E18D74BE5E81}"/>
              </c:ext>
            </c:extLst>
          </c:dPt>
          <c:dPt>
            <c:idx val="11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4-6C0A-4D11-A436-5D5F21E01012}"/>
              </c:ext>
            </c:extLst>
          </c:dPt>
          <c:dLbls>
            <c:dLbl>
              <c:idx val="0"/>
              <c:layout>
                <c:manualLayout>
                  <c:x val="-5.6055583224600844E-2"/>
                  <c:y val="1.37781764925231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8F5-45E4-925D-807B206F1490}"/>
                </c:ext>
              </c:extLst>
            </c:dLbl>
            <c:dLbl>
              <c:idx val="1"/>
              <c:layout>
                <c:manualLayout>
                  <c:x val="-3.4217105506871758E-2"/>
                  <c:y val="-0.1494339031231254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4A6-450C-9CFD-E2045ED58350}"/>
                </c:ext>
              </c:extLst>
            </c:dLbl>
            <c:dLbl>
              <c:idx val="2"/>
              <c:layout>
                <c:manualLayout>
                  <c:x val="-3.4661804232129077E-2"/>
                  <c:y val="6.86855203497641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8F5-45E4-925D-807B206F1490}"/>
                </c:ext>
              </c:extLst>
            </c:dLbl>
            <c:dLbl>
              <c:idx val="5"/>
              <c:layout>
                <c:manualLayout>
                  <c:x val="-3.2731538458372338E-2"/>
                  <c:y val="-0.1372170191148892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8F5-45E4-925D-807B206F1490}"/>
                </c:ext>
              </c:extLst>
            </c:dLbl>
            <c:spPr>
              <a:gradFill rotWithShape="1">
                <a:gsLst>
                  <a:gs pos="0">
                    <a:srgbClr val="8064A2">
                      <a:tint val="50000"/>
                      <a:satMod val="300000"/>
                    </a:srgbClr>
                  </a:gs>
                  <a:gs pos="35000">
                    <a:srgbClr val="8064A2">
                      <a:tint val="37000"/>
                      <a:satMod val="300000"/>
                    </a:srgbClr>
                  </a:gs>
                  <a:gs pos="100000">
                    <a:srgbClr val="8064A2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8064A2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Hoja1!$A$2:$A$10</c:f>
              <c:strCache>
                <c:ptCount val="9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</c:strCache>
            </c:strRef>
          </c:cat>
          <c:val>
            <c:numRef>
              <c:f>Hoja1!$B$2:$B$10</c:f>
              <c:numCache>
                <c:formatCode>_-* #,##0.0_-;\-* #,##0.0_-;_-* "-"??_-;_-@_-</c:formatCode>
                <c:ptCount val="9"/>
                <c:pt idx="0">
                  <c:v>3.4909704848578249</c:v>
                </c:pt>
                <c:pt idx="1">
                  <c:v>4.8023061086179375</c:v>
                </c:pt>
                <c:pt idx="2">
                  <c:v>-0.1099249986598938</c:v>
                </c:pt>
                <c:pt idx="3">
                  <c:v>9.8657956894709908</c:v>
                </c:pt>
                <c:pt idx="4">
                  <c:v>12.166836122492587</c:v>
                </c:pt>
                <c:pt idx="5">
                  <c:v>4.0088673450810797</c:v>
                </c:pt>
                <c:pt idx="6">
                  <c:v>4.1143041660915536</c:v>
                </c:pt>
                <c:pt idx="7">
                  <c:v>0.70211741969481434</c:v>
                </c:pt>
                <c:pt idx="8">
                  <c:v>-1.5416098143137713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6BF2-4B79-BA3C-8105E40095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9281743"/>
        <c:axId val="344873055"/>
      </c:lineChart>
      <c:catAx>
        <c:axId val="1509281743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spc="2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344873055"/>
        <c:crosses val="autoZero"/>
        <c:auto val="1"/>
        <c:lblAlgn val="ctr"/>
        <c:lblOffset val="100"/>
        <c:noMultiLvlLbl val="0"/>
      </c:catAx>
      <c:valAx>
        <c:axId val="344873055"/>
        <c:scaling>
          <c:orientation val="minMax"/>
          <c:min val="-3"/>
        </c:scaling>
        <c:delete val="0"/>
        <c:axPos val="l"/>
        <c:numFmt formatCode="#,##0_ ;[Red]\-#,##0\ 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509281743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168581318866765"/>
          <c:y val="0.88613435421099807"/>
          <c:w val="0.4267094486431775"/>
          <c:h val="9.04008793772573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GT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 b="1" i="0" baseline="0">
                <a:effectLst/>
              </a:rPr>
              <a:t>Gasto Total por clasificación MEFP</a:t>
            </a:r>
            <a:endParaRPr lang="es-GT" sz="1200">
              <a:effectLst/>
            </a:endParaRP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en-US" sz="1100" b="1" i="0" baseline="0">
                <a:effectLst/>
              </a:rPr>
              <a:t>Variación interanual acumulada a septiembre 2021*</a:t>
            </a:r>
            <a:endParaRPr lang="es-GT" sz="1100">
              <a:effectLst/>
            </a:endParaRP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en-US" sz="1000" b="0" i="0" baseline="0">
                <a:effectLst/>
              </a:rPr>
              <a:t>En millones de Quetzales</a:t>
            </a:r>
            <a:endParaRPr lang="es-GT" sz="1000">
              <a:effectLst/>
            </a:endParaRPr>
          </a:p>
        </c:rich>
      </c:tx>
      <c:layout>
        <c:manualLayout>
          <c:xMode val="edge"/>
          <c:yMode val="edge"/>
          <c:x val="0.1643809262496969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"/>
          <c:y val="0.23998526226991052"/>
          <c:w val="1"/>
          <c:h val="0.302641954849863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2021*</c:v>
                </c:pt>
              </c:strCache>
            </c:strRef>
          </c:tx>
          <c:spPr>
            <a:solidFill>
              <a:srgbClr val="70AD47"/>
            </a:solidFill>
            <a:ln>
              <a:solidFill>
                <a:sysClr val="windowText" lastClr="000000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1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solidFill>
                  <a:sysClr val="windowText" lastClr="000000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1-7F35-41DB-8085-F2995703745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7F35-41DB-8085-F2995703745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7F35-41DB-8085-F29957037456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7F35-41DB-8085-F29957037456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7F35-41DB-8085-F29957037456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7F35-41DB-8085-F29957037456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7F35-41DB-8085-F29957037456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7F35-41DB-8085-F29957037456}"/>
                </c:ext>
              </c:extLst>
            </c:dLbl>
            <c:dLbl>
              <c:idx val="7"/>
              <c:layout>
                <c:manualLayout>
                  <c:x val="0"/>
                  <c:y val="2.3547412023734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F35-41DB-8085-F299570374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Hoja1!$A$2:$A$9</c:f>
              <c:strCache>
                <c:ptCount val="8"/>
                <c:pt idx="0">
                  <c:v>Gasto total</c:v>
                </c:pt>
                <c:pt idx="1">
                  <c:v>Uso de bienes y servicios  </c:v>
                </c:pt>
                <c:pt idx="2">
                  <c:v>Donaciones </c:v>
                </c:pt>
                <c:pt idx="3">
                  <c:v>Intereses </c:v>
                </c:pt>
                <c:pt idx="4">
                  <c:v>Remuneración a los empleados </c:v>
                </c:pt>
                <c:pt idx="5">
                  <c:v>Otros gastos </c:v>
                </c:pt>
                <c:pt idx="6">
                  <c:v>Subsidios </c:v>
                </c:pt>
                <c:pt idx="7">
                  <c:v>Prestaciones sociales </c:v>
                </c:pt>
              </c:strCache>
            </c:strRef>
          </c:cat>
          <c:val>
            <c:numRef>
              <c:f>Hoja1!$B$2:$B$9</c:f>
              <c:numCache>
                <c:formatCode>#,##0.0_ ;[Red]\-#,##0.0\ </c:formatCode>
                <c:ptCount val="8"/>
                <c:pt idx="0">
                  <c:v>-965.88585645000467</c:v>
                </c:pt>
                <c:pt idx="1">
                  <c:v>2500.5547877699983</c:v>
                </c:pt>
                <c:pt idx="2">
                  <c:v>1491.9511040700017</c:v>
                </c:pt>
                <c:pt idx="3">
                  <c:v>1158.0130655900002</c:v>
                </c:pt>
                <c:pt idx="4">
                  <c:v>669.00279279999449</c:v>
                </c:pt>
                <c:pt idx="5">
                  <c:v>92.844725120000476</c:v>
                </c:pt>
                <c:pt idx="6">
                  <c:v>-1906.2639688900003</c:v>
                </c:pt>
                <c:pt idx="7">
                  <c:v>-4971.9883629099995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0000"/>
                  </a:solidFill>
                  <a:ln>
                    <a:solidFill>
                      <a:sysClr val="windowText" lastClr="000000"/>
                    </a:solidFill>
                  </a:ln>
                  <a:effectLst>
                    <a:outerShdw blurRad="50800" dist="38100" dir="18900000" algn="bl" rotWithShape="0">
                      <a:prstClr val="black">
                        <a:alpha val="40000"/>
                      </a:prstClr>
                    </a:outerShdw>
                  </a:effectLst>
                  <a:scene3d>
                    <a:camera prst="orthographicFront"/>
                    <a:lightRig rig="threePt" dir="t">
                      <a:rot lat="0" lon="0" rev="1200000"/>
                    </a:lightRig>
                  </a:scene3d>
                  <a:sp3d/>
                </c14:spPr>
              </c14:invertSolidFillFmt>
            </c:ext>
            <c:ext xmlns:c16="http://schemas.microsoft.com/office/drawing/2014/chart" uri="{C3380CC4-5D6E-409C-BE32-E72D297353CC}">
              <c16:uniqueId val="{00000009-7F35-41DB-8085-F299570374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96122768"/>
        <c:axId val="317412256"/>
      </c:barChart>
      <c:catAx>
        <c:axId val="5961227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317412256"/>
        <c:crosses val="autoZero"/>
        <c:auto val="1"/>
        <c:lblAlgn val="ctr"/>
        <c:lblOffset val="100"/>
        <c:noMultiLvlLbl val="0"/>
      </c:catAx>
      <c:valAx>
        <c:axId val="317412256"/>
        <c:scaling>
          <c:orientation val="minMax"/>
        </c:scaling>
        <c:delete val="1"/>
        <c:axPos val="l"/>
        <c:numFmt formatCode="#,##0.0_ ;[Red]\-#,##0.0\ " sourceLinked="1"/>
        <c:majorTickMark val="none"/>
        <c:minorTickMark val="none"/>
        <c:tickLblPos val="nextTo"/>
        <c:crossAx val="596122768"/>
        <c:crosses val="autoZero"/>
        <c:crossBetween val="between"/>
      </c:valAx>
      <c:spPr>
        <a:gradFill>
          <a:gsLst>
            <a:gs pos="0">
              <a:schemeClr val="accent1">
                <a:lumMod val="5000"/>
                <a:lumOff val="95000"/>
              </a:schemeClr>
            </a:gs>
            <a:gs pos="56000">
              <a:schemeClr val="bg1">
                <a:lumMod val="95000"/>
              </a:schemeClr>
            </a:gs>
            <a:gs pos="100000">
              <a:schemeClr val="bg1"/>
            </a:gs>
          </a:gsLst>
          <a:lin ang="5400000" scaled="1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Inversión bruta en activos no financieros</a:t>
            </a:r>
            <a:endParaRPr lang="es-GT" sz="1200">
              <a:solidFill>
                <a:sysClr val="windowText" lastClr="000000"/>
              </a:solidFill>
              <a:effectLst/>
            </a:endParaRPr>
          </a:p>
          <a:p>
            <a:pPr>
              <a:defRPr/>
            </a:pP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Cifra acumulada a septiembre de cada año</a:t>
            </a:r>
            <a:endParaRPr lang="es-GT" sz="1100">
              <a:solidFill>
                <a:sysClr val="windowText" lastClr="000000"/>
              </a:solidFill>
              <a:effectLst/>
            </a:endParaRPr>
          </a:p>
          <a:p>
            <a:pPr>
              <a:defRPr/>
            </a:pPr>
            <a:r>
              <a:rPr lang="en-US" sz="1000" b="0" i="0" baseline="0">
                <a:solidFill>
                  <a:sysClr val="windowText" lastClr="000000"/>
                </a:solidFill>
                <a:effectLst/>
              </a:rPr>
              <a:t>En millones de Quetzales</a:t>
            </a:r>
            <a:endParaRPr lang="es-GT" sz="100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2466727876040544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"/>
          <c:y val="0.28404814938892631"/>
          <c:w val="1"/>
          <c:h val="0.500397664647229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Hoja1!$A$2</c:f>
              <c:strCache>
                <c:ptCount val="1"/>
                <c:pt idx="0">
                  <c:v>Inversión neta/bruta en activos no financieros 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solidFill>
                <a:sysClr val="windowText" lastClr="000000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3">
                        <a:lumMod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Hoja1!$B$1:$F$1</c:f>
              <c:strCache>
                <c:ptCount val="5"/>
                <c:pt idx="0">
                  <c:v>2021*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strCache>
            </c:strRef>
          </c:cat>
          <c:val>
            <c:numRef>
              <c:f>Hoja1!$B$2:$F$2</c:f>
              <c:numCache>
                <c:formatCode>#,##0.0_ ;[Red]\-#,##0.0\ </c:formatCode>
                <c:ptCount val="5"/>
                <c:pt idx="0">
                  <c:v>2222.90949718</c:v>
                </c:pt>
                <c:pt idx="1">
                  <c:v>1913.8800744999999</c:v>
                </c:pt>
                <c:pt idx="2">
                  <c:v>3184.3695592399999</c:v>
                </c:pt>
                <c:pt idx="3">
                  <c:v>2179.14964783</c:v>
                </c:pt>
                <c:pt idx="4">
                  <c:v>816.19676759000004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71-44C7-96E0-50CBD3BBB9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7"/>
        <c:overlap val="-43"/>
        <c:axId val="1557017296"/>
        <c:axId val="470887616"/>
      </c:barChart>
      <c:catAx>
        <c:axId val="1557017296"/>
        <c:scaling>
          <c:orientation val="maxMin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470887616"/>
        <c:crosses val="autoZero"/>
        <c:auto val="1"/>
        <c:lblAlgn val="ctr"/>
        <c:lblOffset val="100"/>
        <c:noMultiLvlLbl val="0"/>
      </c:catAx>
      <c:valAx>
        <c:axId val="470887616"/>
        <c:scaling>
          <c:orientation val="minMax"/>
        </c:scaling>
        <c:delete val="1"/>
        <c:axPos val="r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_ ;[Red]\-#,##0.0\ " sourceLinked="1"/>
        <c:majorTickMark val="none"/>
        <c:minorTickMark val="none"/>
        <c:tickLblPos val="nextTo"/>
        <c:crossAx val="1557017296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  <c:extLst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4">
    <c:autoUpdate val="0"/>
  </c:externalData>
  <c:userShapes r:id="rId5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9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s-GT"/>
              <a:t>Flujo</a:t>
            </a:r>
            <a:r>
              <a:rPr lang="es-GT" baseline="0"/>
              <a:t> mensual  </a:t>
            </a:r>
          </a:p>
        </c:rich>
      </c:tx>
      <c:layout>
        <c:manualLayout>
          <c:xMode val="edge"/>
          <c:yMode val="edge"/>
          <c:x val="0.381879044856059"/>
          <c:y val="3.682551890094241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900" b="1" i="0" u="none" strike="noStrike" kern="1200" cap="none" spc="0" normalizeH="0" baseline="0">
              <a:solidFill>
                <a:schemeClr val="tx1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"/>
          <c:y val="0.11685116851168512"/>
          <c:w val="1"/>
          <c:h val="0.594466790509004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Hoja1!$A$2</c:f>
              <c:strCache>
                <c:ptCount val="1"/>
                <c:pt idx="0">
                  <c:v>Adquicición neta de activos financieros</c:v>
                </c:pt>
              </c:strCache>
            </c:strRef>
          </c:tx>
          <c:spPr>
            <a:solidFill>
              <a:srgbClr val="9BBB59"/>
            </a:solidFill>
            <a:ln>
              <a:solidFill>
                <a:schemeClr val="tx1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1"/>
          <c:dPt>
            <c:idx val="3"/>
            <c:invertIfNegative val="1"/>
            <c:bubble3D val="0"/>
            <c:spPr>
              <a:solidFill>
                <a:schemeClr val="accent3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F5A-4516-A758-482FB4948230}"/>
              </c:ext>
            </c:extLst>
          </c:dPt>
          <c:dPt>
            <c:idx val="6"/>
            <c:invertIfNegative val="1"/>
            <c:bubble3D val="0"/>
            <c:spPr>
              <a:solidFill>
                <a:schemeClr val="accent3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8-F785-4700-B38B-76B949A323CB}"/>
              </c:ext>
            </c:extLst>
          </c:dPt>
          <c:dPt>
            <c:idx val="9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7D05-40F5-B5EB-0F479E5F8AF4}"/>
              </c:ext>
            </c:extLst>
          </c:dPt>
          <c:dLbls>
            <c:dLbl>
              <c:idx val="0"/>
              <c:layout>
                <c:manualLayout>
                  <c:x val="0"/>
                  <c:y val="1.5261350629530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F5A-4516-A758-482FB4948230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F5A-4516-A758-482FB4948230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F5A-4516-A758-482FB4948230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F5A-4516-A758-482FB4948230}"/>
                </c:ext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785-4700-B38B-76B949A323CB}"/>
                </c:ext>
              </c:extLst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785-4700-B38B-76B949A323CB}"/>
                </c:ext>
              </c:extLst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785-4700-B38B-76B949A323CB}"/>
                </c:ext>
              </c:extLst>
            </c:dLbl>
            <c:dLbl>
              <c:idx val="7"/>
              <c:layout>
                <c:manualLayout>
                  <c:x val="0"/>
                  <c:y val="1.8450184501845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D05-40F5-B5EB-0F479E5F8AF4}"/>
                </c:ext>
              </c:extLst>
            </c:dLbl>
            <c:dLbl>
              <c:idx val="8"/>
              <c:layout>
                <c:manualLayout>
                  <c:x val="4.4632894443203007E-3"/>
                  <c:y val="-6.89030649427978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D05-40F5-B5EB-0F479E5F8AF4}"/>
                </c:ext>
              </c:extLst>
            </c:dLbl>
            <c:dLbl>
              <c:idx val="9"/>
              <c:layout>
                <c:manualLayout>
                  <c:x val="-1.6365205576923713E-16"/>
                  <c:y val="-2.4600246002460024E-2"/>
                </c:manualLayout>
              </c:layout>
              <c:numFmt formatCode="#,##0.0_ ;[Red]\-#,##0.0\ 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D05-40F5-B5EB-0F479E5F8AF4}"/>
                </c:ext>
              </c:extLst>
            </c:dLbl>
            <c:dLbl>
              <c:idx val="10"/>
              <c:layout>
                <c:manualLayout>
                  <c:x val="0"/>
                  <c:y val="1.52613506295307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D50-4E40-8B03-F23CCCAC8D6F}"/>
                </c:ext>
              </c:extLst>
            </c:dLbl>
            <c:dLbl>
              <c:idx val="12"/>
              <c:layout>
                <c:manualLayout>
                  <c:x val="-1.6365205576923713E-16"/>
                  <c:y val="-3.815337657382678E-2"/>
                </c:manualLayout>
              </c:layout>
              <c:numFmt formatCode="#,##0.0_ ;[Red]\-#,##0.0\ 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D50-4E40-8B03-F23CCCAC8D6F}"/>
                </c:ext>
              </c:extLst>
            </c:dLbl>
            <c:numFmt formatCode="#,##0.0_ ;[Red]\-#,##0.0\ 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Hoja1!$B$1:$K$1</c:f>
              <c:strCache>
                <c:ptCount val="10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Total</c:v>
                </c:pt>
              </c:strCache>
            </c:strRef>
          </c:cat>
          <c:val>
            <c:numRef>
              <c:f>Hoja1!$B$2:$K$2</c:f>
              <c:numCache>
                <c:formatCode>#,##0.00</c:formatCode>
                <c:ptCount val="10"/>
                <c:pt idx="0">
                  <c:v>-278.25034382999996</c:v>
                </c:pt>
                <c:pt idx="1">
                  <c:v>-11.435125739999998</c:v>
                </c:pt>
                <c:pt idx="2">
                  <c:v>4951.5150239799996</c:v>
                </c:pt>
                <c:pt idx="3" formatCode="_(* #,##0.00_);_(* \(#,##0.00\);_(* &quot;-&quot;??_);_(@_)">
                  <c:v>1629.32626605</c:v>
                </c:pt>
                <c:pt idx="4">
                  <c:v>1631.82687951</c:v>
                </c:pt>
                <c:pt idx="5">
                  <c:v>2783.6598428899997</c:v>
                </c:pt>
                <c:pt idx="6">
                  <c:v>826.6710496500001</c:v>
                </c:pt>
                <c:pt idx="7">
                  <c:v>-444.87130514000006</c:v>
                </c:pt>
                <c:pt idx="8">
                  <c:v>-3307.6800588699994</c:v>
                </c:pt>
                <c:pt idx="9">
                  <c:v>7780.7622284999979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C00000"/>
                  </a:solidFill>
                  <a:ln>
                    <a:solidFill>
                      <a:schemeClr val="tx1"/>
                    </a:solidFill>
                  </a:ln>
                  <a:effectLst>
                    <a:outerShdw blurRad="50800" dist="38100" dir="18900000" algn="bl" rotWithShape="0">
                      <a:prstClr val="black">
                        <a:alpha val="40000"/>
                      </a:prstClr>
                    </a:outerShdw>
                  </a:effectLst>
                </c14:spPr>
              </c14:invertSolidFillFmt>
            </c:ext>
            <c:ext xmlns:c16="http://schemas.microsoft.com/office/drawing/2014/chart" uri="{C3380CC4-5D6E-409C-BE32-E72D297353CC}">
              <c16:uniqueId val="{00000005-2F5A-4516-A758-482FB494823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83"/>
        <c:overlap val="7"/>
        <c:axId val="152970912"/>
        <c:axId val="152969984"/>
      </c:barChart>
      <c:catAx>
        <c:axId val="1529709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52969984"/>
        <c:crosses val="autoZero"/>
        <c:auto val="1"/>
        <c:lblAlgn val="ctr"/>
        <c:lblOffset val="100"/>
        <c:noMultiLvlLbl val="0"/>
      </c:catAx>
      <c:valAx>
        <c:axId val="152969984"/>
        <c:scaling>
          <c:orientation val="minMax"/>
        </c:scaling>
        <c:delete val="1"/>
        <c:axPos val="l"/>
        <c:numFmt formatCode="#,##0_ ;[Red]\-#,##0\ " sourceLinked="0"/>
        <c:majorTickMark val="none"/>
        <c:minorTickMark val="none"/>
        <c:tickLblPos val="nextTo"/>
        <c:crossAx val="152970912"/>
        <c:crosses val="autoZero"/>
        <c:crossBetween val="between"/>
      </c:valAx>
      <c:spPr>
        <a:pattFill prst="ltDnDiag">
          <a:fgClr>
            <a:srgbClr val="000000">
              <a:alpha val="0"/>
            </a:srgbClr>
          </a:fgClr>
          <a:bgClr>
            <a:srgbClr val="FFFFFF"/>
          </a:bgClr>
        </a:pattFill>
        <a:ln w="25400">
          <a:noFill/>
        </a:ln>
        <a:effectLst/>
      </c:spPr>
    </c:plotArea>
    <c:plotVisOnly val="1"/>
    <c:dispBlanksAs val="gap"/>
    <c:showDLblsOverMax val="0"/>
    <c:extLst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s-GT" sz="1000"/>
              <a:t>Por</a:t>
            </a:r>
            <a:r>
              <a:rPr lang="es-GT" sz="1000" baseline="0"/>
              <a:t> tipo de instrumento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s-GT" sz="1000" baseline="0"/>
              <a:t>Cifra acumulada</a:t>
            </a:r>
            <a:endParaRPr lang="es-GT" sz="1000"/>
          </a:p>
        </c:rich>
      </c:tx>
      <c:layout>
        <c:manualLayout>
          <c:xMode val="edge"/>
          <c:yMode val="edge"/>
          <c:x val="0.2247214090910839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cap="none" spc="0" normalizeH="0" baseline="0">
              <a:solidFill>
                <a:schemeClr val="tx1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.13775004063313276"/>
          <c:y val="0.27904009203471253"/>
          <c:w val="0.44852633908202411"/>
          <c:h val="0.6722044015836075"/>
        </c:manualLayout>
      </c:layout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Junio</c:v>
                </c:pt>
              </c:strCache>
            </c:strRef>
          </c:tx>
          <c:spPr>
            <a:ln>
              <a:solidFill>
                <a:schemeClr val="tx1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dPt>
            <c:idx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7F2-407C-BE81-289EFBC09B14}"/>
              </c:ext>
            </c:extLst>
          </c:dPt>
          <c:dPt>
            <c:idx val="1"/>
            <c:bubble3D val="0"/>
            <c:spPr>
              <a:solidFill>
                <a:schemeClr val="accent5">
                  <a:tint val="77000"/>
                </a:schemeClr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7F2-407C-BE81-289EFBC09B14}"/>
              </c:ext>
            </c:extLst>
          </c:dPt>
          <c:dLbls>
            <c:dLbl>
              <c:idx val="0"/>
              <c:layout>
                <c:manualLayout>
                  <c:x val="0.52241151829641219"/>
                  <c:y val="-0.21233048993875769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5877854667287251"/>
                      <c:h val="0.360920943909789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7F2-407C-BE81-289EFBC09B14}"/>
                </c:ext>
              </c:extLst>
            </c:dLbl>
            <c:dLbl>
              <c:idx val="1"/>
              <c:layout>
                <c:manualLayout>
                  <c:x val="-1.9511364816574374E-2"/>
                  <c:y val="0.19145888013998236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280087241171064"/>
                      <c:h val="0.3026021920871002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7F2-407C-BE81-289EFBC09B14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dLblPos val="bestFit"/>
            <c:showLegendKey val="1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Billetes, monedas y depósitos</c:v>
                </c:pt>
                <c:pt idx="1">
                  <c:v>Préstamos</c:v>
                </c:pt>
              </c:strCache>
            </c:strRef>
          </c:cat>
          <c:val>
            <c:numRef>
              <c:f>Hoja1!$B$2:$B$3</c:f>
              <c:numCache>
                <c:formatCode>"Q"#,##0.0</c:formatCode>
                <c:ptCount val="2"/>
                <c:pt idx="0">
                  <c:v>7774.7903129599999</c:v>
                </c:pt>
                <c:pt idx="1">
                  <c:v>5.9719155400000004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7F2-407C-BE81-289EFBC09B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90"/>
      </c:pieChart>
      <c:spPr>
        <a:noFill/>
        <a:ln>
          <a:noFill/>
        </a:ln>
        <a:effectLst/>
      </c:spPr>
    </c:plotArea>
    <c:plotVisOnly val="1"/>
    <c:dispBlanksAs val="gap"/>
    <c:showDLblsOverMax val="0"/>
    <c:extLst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9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n-US" sz="900" b="1" i="0">
                <a:solidFill>
                  <a:schemeClr val="tx1"/>
                </a:solidFill>
              </a:rPr>
              <a:t>Flujo Mensual</a:t>
            </a:r>
          </a:p>
        </c:rich>
      </c:tx>
      <c:layout>
        <c:manualLayout>
          <c:xMode val="edge"/>
          <c:yMode val="edge"/>
          <c:x val="0.35417726104549435"/>
          <c:y val="9.8328416912487702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900" b="1" i="0" u="none" strike="noStrike" kern="1200" cap="none" spc="0" normalizeH="0" baseline="0">
              <a:solidFill>
                <a:schemeClr val="tx1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"/>
          <c:y val="9.1218054436108878E-2"/>
          <c:w val="1"/>
          <c:h val="0.519780925217165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Hoja1!$A$2</c:f>
              <c:strCache>
                <c:ptCount val="1"/>
                <c:pt idx="0">
                  <c:v>Categoría 1</c:v>
                </c:pt>
              </c:strCache>
            </c:strRef>
          </c:tx>
          <c:spPr>
            <a:noFill/>
            <a:ln>
              <a:solidFill>
                <a:schemeClr val="bg1"/>
              </a:solidFill>
            </a:ln>
            <a:effectLst/>
          </c:spPr>
          <c:invertIfNegative val="0"/>
          <c:dPt>
            <c:idx val="3"/>
            <c:invertIfNegative val="0"/>
            <c:bubble3D val="0"/>
            <c:spPr>
              <a:noFill/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F5A-4516-A758-482FB4948230}"/>
              </c:ext>
            </c:extLst>
          </c:dPt>
          <c:dPt>
            <c:idx val="6"/>
            <c:invertIfNegative val="0"/>
            <c:bubble3D val="0"/>
            <c:spPr>
              <a:noFill/>
              <a:ln w="19050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F785-4700-B38B-76B949A323CB}"/>
              </c:ext>
            </c:extLst>
          </c:dPt>
          <c:dPt>
            <c:idx val="9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  <a:ln w="28575"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7D05-40F5-B5EB-0F479E5F8AF4}"/>
              </c:ext>
            </c:extLst>
          </c:dPt>
          <c:dPt>
            <c:idx val="12"/>
            <c:invertIfNegative val="0"/>
            <c:bubble3D val="0"/>
            <c:spPr>
              <a:noFill/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4B4C-4485-8C79-904533380089}"/>
              </c:ext>
            </c:extLst>
          </c:dPt>
          <c:dLbls>
            <c:dLbl>
              <c:idx val="9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D05-40F5-B5EB-0F479E5F8A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Hoja1!$B$1:$K$1</c:f>
              <c:strCache>
                <c:ptCount val="10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Total</c:v>
                </c:pt>
              </c:strCache>
            </c:strRef>
          </c:cat>
          <c:val>
            <c:numRef>
              <c:f>Hoja1!$B$2:$K$2</c:f>
              <c:numCache>
                <c:formatCode>_-* #,##0.0_-;\-* #,##0.0_-;_-* "-"??_-;_-@_-</c:formatCode>
                <c:ptCount val="10"/>
                <c:pt idx="0">
                  <c:v>-272.92506887000008</c:v>
                </c:pt>
                <c:pt idx="1">
                  <c:v>-861.49786626999992</c:v>
                </c:pt>
                <c:pt idx="2">
                  <c:v>6374.8141810400002</c:v>
                </c:pt>
                <c:pt idx="3">
                  <c:v>1900.7563351199999</c:v>
                </c:pt>
                <c:pt idx="4">
                  <c:v>446.59362637999999</c:v>
                </c:pt>
                <c:pt idx="5">
                  <c:v>3776.0805057500002</c:v>
                </c:pt>
                <c:pt idx="6">
                  <c:v>1734.8838317099999</c:v>
                </c:pt>
                <c:pt idx="7">
                  <c:v>-182.79837785999996</c:v>
                </c:pt>
                <c:pt idx="8">
                  <c:v>858.02232547999995</c:v>
                </c:pt>
                <c:pt idx="9">
                  <c:v>13773.929492480001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F5A-4516-A758-482FB494823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83"/>
        <c:overlap val="7"/>
        <c:axId val="152970912"/>
        <c:axId val="152969984"/>
      </c:barChart>
      <c:lineChart>
        <c:grouping val="standard"/>
        <c:varyColors val="0"/>
        <c:ser>
          <c:idx val="1"/>
          <c:order val="1"/>
          <c:tx>
            <c:strRef>
              <c:f>Hoja1!$A$3</c:f>
              <c:strCache>
                <c:ptCount val="1"/>
                <c:pt idx="0">
                  <c:v>Categoría 2</c:v>
                </c:pt>
              </c:strCache>
            </c:strRef>
          </c:tx>
          <c:spPr>
            <a:ln w="22225" cap="rnd">
              <a:noFill/>
              <a:round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marker>
            <c:symbol val="circle"/>
            <c:size val="21"/>
            <c:spPr>
              <a:solidFill>
                <a:schemeClr val="accent6">
                  <a:lumMod val="20000"/>
                  <a:lumOff val="80000"/>
                </a:schemeClr>
              </a:solidFill>
              <a:ln w="15875">
                <a:solidFill>
                  <a:schemeClr val="accent2"/>
                </a:solidFill>
                <a:round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</c:marker>
          <c:dPt>
            <c:idx val="0"/>
            <c:marker>
              <c:symbol val="circle"/>
              <c:size val="21"/>
              <c:spPr>
                <a:solidFill>
                  <a:schemeClr val="accent3">
                    <a:lumMod val="20000"/>
                    <a:lumOff val="80000"/>
                  </a:schemeClr>
                </a:solidFill>
                <a:ln w="15875">
                  <a:solidFill>
                    <a:schemeClr val="accent2"/>
                  </a:solidFill>
                  <a:round/>
                </a:ln>
                <a:effectLst>
                  <a:outerShdw blurRad="50800" dist="38100" dir="18900000" algn="bl" rotWithShape="0">
                    <a:prstClr val="black">
                      <a:alpha val="40000"/>
                    </a:prstClr>
                  </a:outerShdw>
                </a:effectLst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6-2F5A-4516-A758-482FB4948230}"/>
              </c:ext>
            </c:extLst>
          </c:dPt>
          <c:dPt>
            <c:idx val="1"/>
            <c:marker>
              <c:symbol val="circle"/>
              <c:size val="21"/>
              <c:spPr>
                <a:solidFill>
                  <a:schemeClr val="accent3">
                    <a:lumMod val="20000"/>
                    <a:lumOff val="80000"/>
                  </a:schemeClr>
                </a:solidFill>
                <a:ln w="15875">
                  <a:solidFill>
                    <a:schemeClr val="accent2"/>
                  </a:solidFill>
                  <a:round/>
                </a:ln>
                <a:effectLst>
                  <a:outerShdw blurRad="50800" dist="38100" dir="18900000" algn="bl" rotWithShape="0">
                    <a:prstClr val="black">
                      <a:alpha val="40000"/>
                    </a:prstClr>
                  </a:outerShdw>
                </a:effectLst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7-2F5A-4516-A758-482FB4948230}"/>
              </c:ext>
            </c:extLst>
          </c:dPt>
          <c:dPt>
            <c:idx val="2"/>
            <c:marker>
              <c:symbol val="circle"/>
              <c:size val="21"/>
              <c:spPr>
                <a:solidFill>
                  <a:schemeClr val="accent6">
                    <a:lumMod val="20000"/>
                    <a:lumOff val="80000"/>
                  </a:schemeClr>
                </a:solidFill>
                <a:ln w="15875">
                  <a:solidFill>
                    <a:schemeClr val="accent2"/>
                  </a:solidFill>
                  <a:round/>
                </a:ln>
                <a:effectLst>
                  <a:outerShdw blurRad="50800" dist="38100" dir="18900000" algn="bl" rotWithShape="0">
                    <a:prstClr val="black">
                      <a:alpha val="40000"/>
                    </a:prstClr>
                  </a:outerShdw>
                </a:effectLst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8-2F5A-4516-A758-482FB4948230}"/>
              </c:ext>
            </c:extLst>
          </c:dPt>
          <c:dPt>
            <c:idx val="3"/>
            <c:marker>
              <c:symbol val="circle"/>
              <c:size val="21"/>
              <c:spPr>
                <a:solidFill>
                  <a:schemeClr val="accent6">
                    <a:lumMod val="20000"/>
                    <a:lumOff val="80000"/>
                  </a:schemeClr>
                </a:solidFill>
                <a:ln w="15875">
                  <a:solidFill>
                    <a:schemeClr val="accent2"/>
                  </a:solidFill>
                  <a:round/>
                </a:ln>
                <a:effectLst>
                  <a:outerShdw blurRad="50800" dist="38100" dir="18900000" algn="bl" rotWithShape="0">
                    <a:prstClr val="black">
                      <a:alpha val="40000"/>
                    </a:prstClr>
                  </a:outerShdw>
                </a:effectLst>
              </c:spPr>
            </c:marker>
            <c:bubble3D val="0"/>
            <c:spPr>
              <a:ln w="22225" cap="rnd">
                <a:noFill/>
                <a:round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2F5A-4516-A758-482FB4948230}"/>
              </c:ext>
            </c:extLst>
          </c:dPt>
          <c:dPt>
            <c:idx val="6"/>
            <c:marker>
              <c:symbol val="circle"/>
              <c:size val="21"/>
              <c:spPr>
                <a:solidFill>
                  <a:schemeClr val="accent6">
                    <a:lumMod val="20000"/>
                    <a:lumOff val="80000"/>
                  </a:schemeClr>
                </a:solidFill>
                <a:ln w="15875">
                  <a:solidFill>
                    <a:schemeClr val="accent2"/>
                  </a:solidFill>
                  <a:round/>
                </a:ln>
                <a:effectLst/>
              </c:spPr>
            </c:marker>
            <c:bubble3D val="0"/>
            <c:spPr>
              <a:ln w="22225" cap="rnd">
                <a:noFill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E-25C3-47FC-B730-F6F202BC7A43}"/>
              </c:ext>
            </c:extLst>
          </c:dPt>
          <c:dPt>
            <c:idx val="7"/>
            <c:marker>
              <c:symbol val="circle"/>
              <c:size val="21"/>
              <c:spPr>
                <a:solidFill>
                  <a:schemeClr val="accent3">
                    <a:lumMod val="20000"/>
                    <a:lumOff val="80000"/>
                  </a:schemeClr>
                </a:solidFill>
                <a:ln w="15875">
                  <a:solidFill>
                    <a:schemeClr val="accent2"/>
                  </a:solidFill>
                  <a:round/>
                </a:ln>
                <a:effectLst>
                  <a:outerShdw blurRad="50800" dist="38100" dir="18900000" algn="bl" rotWithShape="0">
                    <a:prstClr val="black">
                      <a:alpha val="40000"/>
                    </a:prstClr>
                  </a:outerShdw>
                </a:effectLst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0-F6D3-4EB8-9B49-CA9F7FE069D8}"/>
              </c:ext>
            </c:extLst>
          </c:dPt>
          <c:dLbls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631-45BD-9BD9-751B826219A5}"/>
                </c:ext>
              </c:extLst>
            </c:dLbl>
            <c:numFmt formatCode="#,##0.0_ ;[Red]\-#,##0.0\ 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Hoja1!$B$1:$K$1</c:f>
              <c:strCache>
                <c:ptCount val="10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Total</c:v>
                </c:pt>
              </c:strCache>
            </c:strRef>
          </c:cat>
          <c:val>
            <c:numRef>
              <c:f>Hoja1!$B$3:$K$3</c:f>
              <c:numCache>
                <c:formatCode>_-* #,##0.0_-;\-* #,##0.0_-;_-* "-"??_-;_-@_-</c:formatCode>
                <c:ptCount val="10"/>
                <c:pt idx="0">
                  <c:v>-272.92506887000008</c:v>
                </c:pt>
                <c:pt idx="1">
                  <c:v>-861.49786626999992</c:v>
                </c:pt>
                <c:pt idx="2">
                  <c:v>6374.8141810400002</c:v>
                </c:pt>
                <c:pt idx="3">
                  <c:v>1900.7563351199999</c:v>
                </c:pt>
                <c:pt idx="4">
                  <c:v>446.59362637999999</c:v>
                </c:pt>
                <c:pt idx="5">
                  <c:v>3776.0805057500002</c:v>
                </c:pt>
                <c:pt idx="6">
                  <c:v>1734.8838317099999</c:v>
                </c:pt>
                <c:pt idx="7">
                  <c:v>-182.79837785999996</c:v>
                </c:pt>
                <c:pt idx="8">
                  <c:v>858.02232547999995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2F5A-4516-A758-482FB49482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970912"/>
        <c:axId val="152969984"/>
      </c:lineChart>
      <c:catAx>
        <c:axId val="152970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52969984"/>
        <c:crosses val="autoZero"/>
        <c:auto val="1"/>
        <c:lblAlgn val="ctr"/>
        <c:lblOffset val="100"/>
        <c:noMultiLvlLbl val="0"/>
      </c:catAx>
      <c:valAx>
        <c:axId val="152969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_ ;[Red]\-#,##0\ 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52970912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2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  <a:alpha val="54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  <a:alpha val="51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2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27429C-5B6E-468F-AF42-BE9281FF2A23}" type="doc">
      <dgm:prSet loTypeId="urn:microsoft.com/office/officeart/2005/8/layout/list1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8DFCB13-F778-41C4-88A6-8A8793BBCF6B}">
      <dgm:prSet phldrT="[Texto]" custT="1"/>
      <dgm:spPr/>
      <dgm:t>
        <a:bodyPr/>
        <a:lstStyle/>
        <a:p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gm:t>
    </dgm:pt>
    <dgm:pt modelId="{55E528F8-5473-447A-B4D6-39039A5FF545}" type="par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C21111-088F-4CAC-A53E-A2F91EF73064}" type="sib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C29C0B-230A-4A2F-B7AB-59E88CC6B709}">
      <dgm:prSet phldrT="[Texto]" custT="1"/>
      <dgm:spPr/>
      <dgm:t>
        <a:bodyPr/>
        <a:lstStyle/>
        <a:p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Hay una diferencia importante entre la definición de "ingreso" en la metodología nacional y los es</a:t>
          </a:r>
          <a:r>
            <a:rPr lang="en-US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tán</a:t>
          </a:r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dares internacionales.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En los </a:t>
          </a:r>
          <a:r>
            <a:rPr lang="en-US" sz="1000" b="1" strike="noStrike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estándares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 internacionales, un ingreso es un aumento del patrimonio neto como resultado de una transacción (MEFP 2014) </a:t>
          </a:r>
        </a:p>
      </dgm:t>
    </dgm:pt>
    <dgm:pt modelId="{BD00C7DA-D115-4DC8-96E9-9A8238F85148}" type="par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EB422C-F1D3-4985-A61D-252683A994E5}" type="sib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323760A-CAC8-432D-A020-F77BFA77D735}" type="pres">
      <dgm:prSet presAssocID="{FF27429C-5B6E-468F-AF42-BE9281FF2A23}" presName="linear" presStyleCnt="0">
        <dgm:presLayoutVars>
          <dgm:dir/>
          <dgm:animLvl val="lvl"/>
          <dgm:resizeHandles val="exact"/>
        </dgm:presLayoutVars>
      </dgm:prSet>
      <dgm:spPr/>
    </dgm:pt>
    <dgm:pt modelId="{6E63B848-FDAE-4891-8566-8BE88B653316}" type="pres">
      <dgm:prSet presAssocID="{68DFCB13-F778-41C4-88A6-8A8793BBCF6B}" presName="parentLin" presStyleCnt="0"/>
      <dgm:spPr/>
    </dgm:pt>
    <dgm:pt modelId="{374EA5B0-C6AD-46BF-9645-7F0ED252FE66}" type="pres">
      <dgm:prSet presAssocID="{68DFCB13-F778-41C4-88A6-8A8793BBCF6B}" presName="parentLeftMargin" presStyleLbl="node1" presStyleIdx="0" presStyleCnt="1"/>
      <dgm:spPr/>
    </dgm:pt>
    <dgm:pt modelId="{377E1CD8-0067-463D-AA47-7581C029D7D4}" type="pres">
      <dgm:prSet presAssocID="{68DFCB13-F778-41C4-88A6-8A8793BBCF6B}" presName="parentText" presStyleLbl="node1" presStyleIdx="0" presStyleCnt="1" custScaleX="33793">
        <dgm:presLayoutVars>
          <dgm:chMax val="0"/>
          <dgm:bulletEnabled val="1"/>
        </dgm:presLayoutVars>
      </dgm:prSet>
      <dgm:spPr/>
    </dgm:pt>
    <dgm:pt modelId="{8C78493C-3C9C-4FDF-89DE-DDAC27488222}" type="pres">
      <dgm:prSet presAssocID="{68DFCB13-F778-41C4-88A6-8A8793BBCF6B}" presName="negativeSpace" presStyleCnt="0"/>
      <dgm:spPr/>
    </dgm:pt>
    <dgm:pt modelId="{1111B519-2F2F-4512-95FE-D2216303CCBE}" type="pres">
      <dgm:prSet presAssocID="{68DFCB13-F778-41C4-88A6-8A8793BBCF6B}" presName="childText" presStyleLbl="conFgAcc1" presStyleIdx="0" presStyleCnt="1">
        <dgm:presLayoutVars>
          <dgm:bulletEnabled val="1"/>
        </dgm:presLayoutVars>
      </dgm:prSet>
      <dgm:spPr/>
    </dgm:pt>
  </dgm:ptLst>
  <dgm:cxnLst>
    <dgm:cxn modelId="{2B97E307-DDDC-45DC-9CA7-632648FED3B9}" type="presOf" srcId="{01C29C0B-230A-4A2F-B7AB-59E88CC6B709}" destId="{1111B519-2F2F-4512-95FE-D2216303CCBE}" srcOrd="0" destOrd="0" presId="urn:microsoft.com/office/officeart/2005/8/layout/list1"/>
    <dgm:cxn modelId="{E9E7F310-CA62-40CB-950B-C2B09700E887}" type="presOf" srcId="{FF27429C-5B6E-468F-AF42-BE9281FF2A23}" destId="{7323760A-CAC8-432D-A020-F77BFA77D735}" srcOrd="0" destOrd="0" presId="urn:microsoft.com/office/officeart/2005/8/layout/list1"/>
    <dgm:cxn modelId="{9E117C35-F0A3-4260-AE5F-3261DFB7C6EE}" srcId="{FF27429C-5B6E-468F-AF42-BE9281FF2A23}" destId="{68DFCB13-F778-41C4-88A6-8A8793BBCF6B}" srcOrd="0" destOrd="0" parTransId="{55E528F8-5473-447A-B4D6-39039A5FF545}" sibTransId="{18C21111-088F-4CAC-A53E-A2F91EF73064}"/>
    <dgm:cxn modelId="{CF9E1A65-553C-4315-9B4D-6922C5CF2185}" type="presOf" srcId="{68DFCB13-F778-41C4-88A6-8A8793BBCF6B}" destId="{377E1CD8-0067-463D-AA47-7581C029D7D4}" srcOrd="1" destOrd="0" presId="urn:microsoft.com/office/officeart/2005/8/layout/list1"/>
    <dgm:cxn modelId="{047B5950-955A-4E9C-890F-03A957F573F6}" srcId="{68DFCB13-F778-41C4-88A6-8A8793BBCF6B}" destId="{01C29C0B-230A-4A2F-B7AB-59E88CC6B709}" srcOrd="0" destOrd="0" parTransId="{BD00C7DA-D115-4DC8-96E9-9A8238F85148}" sibTransId="{65EB422C-F1D3-4985-A61D-252683A994E5}"/>
    <dgm:cxn modelId="{3FDC437B-7FEB-4570-9F57-FAA88171B111}" type="presOf" srcId="{68DFCB13-F778-41C4-88A6-8A8793BBCF6B}" destId="{374EA5B0-C6AD-46BF-9645-7F0ED252FE66}" srcOrd="0" destOrd="0" presId="urn:microsoft.com/office/officeart/2005/8/layout/list1"/>
    <dgm:cxn modelId="{4BC55A49-751C-408F-B176-B7C4C361EF7E}" type="presParOf" srcId="{7323760A-CAC8-432D-A020-F77BFA77D735}" destId="{6E63B848-FDAE-4891-8566-8BE88B653316}" srcOrd="0" destOrd="0" presId="urn:microsoft.com/office/officeart/2005/8/layout/list1"/>
    <dgm:cxn modelId="{168861B8-2B13-4D21-A0A3-3DF5AA125F21}" type="presParOf" srcId="{6E63B848-FDAE-4891-8566-8BE88B653316}" destId="{374EA5B0-C6AD-46BF-9645-7F0ED252FE66}" srcOrd="0" destOrd="0" presId="urn:microsoft.com/office/officeart/2005/8/layout/list1"/>
    <dgm:cxn modelId="{FD713377-EE71-47D7-9EBD-4A34BD75CF63}" type="presParOf" srcId="{6E63B848-FDAE-4891-8566-8BE88B653316}" destId="{377E1CD8-0067-463D-AA47-7581C029D7D4}" srcOrd="1" destOrd="0" presId="urn:microsoft.com/office/officeart/2005/8/layout/list1"/>
    <dgm:cxn modelId="{855C1ABF-EE0E-4368-AAF2-7D3585E239A5}" type="presParOf" srcId="{7323760A-CAC8-432D-A020-F77BFA77D735}" destId="{8C78493C-3C9C-4FDF-89DE-DDAC27488222}" srcOrd="1" destOrd="0" presId="urn:microsoft.com/office/officeart/2005/8/layout/list1"/>
    <dgm:cxn modelId="{680373E2-88CE-4642-9587-481CCEFD2578}" type="presParOf" srcId="{7323760A-CAC8-432D-A020-F77BFA77D735}" destId="{1111B519-2F2F-4512-95FE-D2216303CCBE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F27429C-5B6E-468F-AF42-BE9281FF2A23}" type="doc">
      <dgm:prSet loTypeId="urn:microsoft.com/office/officeart/2005/8/layout/list1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8DFCB13-F778-41C4-88A6-8A8793BBCF6B}">
      <dgm:prSet phldrT="[Texto]" custT="1"/>
      <dgm:spPr/>
      <dgm:t>
        <a:bodyPr/>
        <a:lstStyle/>
        <a:p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gm:t>
    </dgm:pt>
    <dgm:pt modelId="{55E528F8-5473-447A-B4D6-39039A5FF545}" type="par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C21111-088F-4CAC-A53E-A2F91EF73064}" type="sib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C29C0B-230A-4A2F-B7AB-59E88CC6B709}">
      <dgm:prSet phldrT="[Texto]" custT="1"/>
      <dgm:spPr/>
      <dgm:t>
        <a:bodyPr/>
        <a:lstStyle/>
        <a:p>
          <a:pPr algn="just"/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Los "Gastos" en los estándares internacionales presentan mayores diferencias respecto a la información presentada en metodología nacional y es importante entender que estos no son comparables entre si.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En los e</a:t>
          </a:r>
          <a:r>
            <a:rPr lang="en-US" sz="1000" b="1" strike="noStrike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stándares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 internacionales, un gasto es una transacción que  disminuye del patrimonio neto del gobierno (MEFP 2014) </a:t>
          </a:r>
        </a:p>
      </dgm:t>
    </dgm:pt>
    <dgm:pt modelId="{BD00C7DA-D115-4DC8-96E9-9A8238F85148}" type="par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EB422C-F1D3-4985-A61D-252683A994E5}" type="sib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CC71809-35DE-431A-8E89-16EE3CBE8060}">
      <dgm:prSet phldrT="[Texto]" custT="1"/>
      <dgm:spPr/>
      <dgm:t>
        <a:bodyPr/>
        <a:lstStyle/>
        <a:p>
          <a:pPr algn="just"/>
          <a:endParaRPr lang="en-US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B3419CE-7C14-4ADE-BDF0-3D966782548A}" type="parTrans" cxnId="{537138B4-325E-4E94-87BB-8E2AEB889CE3}">
      <dgm:prSet/>
      <dgm:spPr/>
      <dgm:t>
        <a:bodyPr/>
        <a:lstStyle/>
        <a:p>
          <a:endParaRPr lang="es-GT"/>
        </a:p>
      </dgm:t>
    </dgm:pt>
    <dgm:pt modelId="{8B785DAD-3895-49B6-A969-58089C321C73}" type="sibTrans" cxnId="{537138B4-325E-4E94-87BB-8E2AEB889CE3}">
      <dgm:prSet/>
      <dgm:spPr/>
      <dgm:t>
        <a:bodyPr/>
        <a:lstStyle/>
        <a:p>
          <a:endParaRPr lang="es-GT"/>
        </a:p>
      </dgm:t>
    </dgm:pt>
    <dgm:pt modelId="{7323760A-CAC8-432D-A020-F77BFA77D735}" type="pres">
      <dgm:prSet presAssocID="{FF27429C-5B6E-468F-AF42-BE9281FF2A23}" presName="linear" presStyleCnt="0">
        <dgm:presLayoutVars>
          <dgm:dir/>
          <dgm:animLvl val="lvl"/>
          <dgm:resizeHandles val="exact"/>
        </dgm:presLayoutVars>
      </dgm:prSet>
      <dgm:spPr/>
    </dgm:pt>
    <dgm:pt modelId="{6E63B848-FDAE-4891-8566-8BE88B653316}" type="pres">
      <dgm:prSet presAssocID="{68DFCB13-F778-41C4-88A6-8A8793BBCF6B}" presName="parentLin" presStyleCnt="0"/>
      <dgm:spPr/>
    </dgm:pt>
    <dgm:pt modelId="{374EA5B0-C6AD-46BF-9645-7F0ED252FE66}" type="pres">
      <dgm:prSet presAssocID="{68DFCB13-F778-41C4-88A6-8A8793BBCF6B}" presName="parentLeftMargin" presStyleLbl="node1" presStyleIdx="0" presStyleCnt="1"/>
      <dgm:spPr/>
    </dgm:pt>
    <dgm:pt modelId="{377E1CD8-0067-463D-AA47-7581C029D7D4}" type="pres">
      <dgm:prSet presAssocID="{68DFCB13-F778-41C4-88A6-8A8793BBCF6B}" presName="parentText" presStyleLbl="node1" presStyleIdx="0" presStyleCnt="1" custScaleX="33793">
        <dgm:presLayoutVars>
          <dgm:chMax val="0"/>
          <dgm:bulletEnabled val="1"/>
        </dgm:presLayoutVars>
      </dgm:prSet>
      <dgm:spPr/>
    </dgm:pt>
    <dgm:pt modelId="{8C78493C-3C9C-4FDF-89DE-DDAC27488222}" type="pres">
      <dgm:prSet presAssocID="{68DFCB13-F778-41C4-88A6-8A8793BBCF6B}" presName="negativeSpace" presStyleCnt="0"/>
      <dgm:spPr/>
    </dgm:pt>
    <dgm:pt modelId="{1111B519-2F2F-4512-95FE-D2216303CCBE}" type="pres">
      <dgm:prSet presAssocID="{68DFCB13-F778-41C4-88A6-8A8793BBCF6B}" presName="childText" presStyleLbl="conFgAcc1" presStyleIdx="0" presStyleCnt="1" custLinFactY="-1552" custLinFactNeighborX="-34956" custLinFactNeighborY="-100000">
        <dgm:presLayoutVars>
          <dgm:bulletEnabled val="1"/>
        </dgm:presLayoutVars>
      </dgm:prSet>
      <dgm:spPr/>
    </dgm:pt>
  </dgm:ptLst>
  <dgm:cxnLst>
    <dgm:cxn modelId="{2B97E307-DDDC-45DC-9CA7-632648FED3B9}" type="presOf" srcId="{01C29C0B-230A-4A2F-B7AB-59E88CC6B709}" destId="{1111B519-2F2F-4512-95FE-D2216303CCBE}" srcOrd="0" destOrd="1" presId="urn:microsoft.com/office/officeart/2005/8/layout/list1"/>
    <dgm:cxn modelId="{E9E7F310-CA62-40CB-950B-C2B09700E887}" type="presOf" srcId="{FF27429C-5B6E-468F-AF42-BE9281FF2A23}" destId="{7323760A-CAC8-432D-A020-F77BFA77D735}" srcOrd="0" destOrd="0" presId="urn:microsoft.com/office/officeart/2005/8/layout/list1"/>
    <dgm:cxn modelId="{9E117C35-F0A3-4260-AE5F-3261DFB7C6EE}" srcId="{FF27429C-5B6E-468F-AF42-BE9281FF2A23}" destId="{68DFCB13-F778-41C4-88A6-8A8793BBCF6B}" srcOrd="0" destOrd="0" parTransId="{55E528F8-5473-447A-B4D6-39039A5FF545}" sibTransId="{18C21111-088F-4CAC-A53E-A2F91EF73064}"/>
    <dgm:cxn modelId="{CF9E1A65-553C-4315-9B4D-6922C5CF2185}" type="presOf" srcId="{68DFCB13-F778-41C4-88A6-8A8793BBCF6B}" destId="{377E1CD8-0067-463D-AA47-7581C029D7D4}" srcOrd="1" destOrd="0" presId="urn:microsoft.com/office/officeart/2005/8/layout/list1"/>
    <dgm:cxn modelId="{047B5950-955A-4E9C-890F-03A957F573F6}" srcId="{68DFCB13-F778-41C4-88A6-8A8793BBCF6B}" destId="{01C29C0B-230A-4A2F-B7AB-59E88CC6B709}" srcOrd="1" destOrd="0" parTransId="{BD00C7DA-D115-4DC8-96E9-9A8238F85148}" sibTransId="{65EB422C-F1D3-4985-A61D-252683A994E5}"/>
    <dgm:cxn modelId="{4D524D71-7747-4CA7-959A-0C1A1AB0D512}" type="presOf" srcId="{2CC71809-35DE-431A-8E89-16EE3CBE8060}" destId="{1111B519-2F2F-4512-95FE-D2216303CCBE}" srcOrd="0" destOrd="0" presId="urn:microsoft.com/office/officeart/2005/8/layout/list1"/>
    <dgm:cxn modelId="{3FDC437B-7FEB-4570-9F57-FAA88171B111}" type="presOf" srcId="{68DFCB13-F778-41C4-88A6-8A8793BBCF6B}" destId="{374EA5B0-C6AD-46BF-9645-7F0ED252FE66}" srcOrd="0" destOrd="0" presId="urn:microsoft.com/office/officeart/2005/8/layout/list1"/>
    <dgm:cxn modelId="{537138B4-325E-4E94-87BB-8E2AEB889CE3}" srcId="{68DFCB13-F778-41C4-88A6-8A8793BBCF6B}" destId="{2CC71809-35DE-431A-8E89-16EE3CBE8060}" srcOrd="0" destOrd="0" parTransId="{FB3419CE-7C14-4ADE-BDF0-3D966782548A}" sibTransId="{8B785DAD-3895-49B6-A969-58089C321C73}"/>
    <dgm:cxn modelId="{4BC55A49-751C-408F-B176-B7C4C361EF7E}" type="presParOf" srcId="{7323760A-CAC8-432D-A020-F77BFA77D735}" destId="{6E63B848-FDAE-4891-8566-8BE88B653316}" srcOrd="0" destOrd="0" presId="urn:microsoft.com/office/officeart/2005/8/layout/list1"/>
    <dgm:cxn modelId="{168861B8-2B13-4D21-A0A3-3DF5AA125F21}" type="presParOf" srcId="{6E63B848-FDAE-4891-8566-8BE88B653316}" destId="{374EA5B0-C6AD-46BF-9645-7F0ED252FE66}" srcOrd="0" destOrd="0" presId="urn:microsoft.com/office/officeart/2005/8/layout/list1"/>
    <dgm:cxn modelId="{FD713377-EE71-47D7-9EBD-4A34BD75CF63}" type="presParOf" srcId="{6E63B848-FDAE-4891-8566-8BE88B653316}" destId="{377E1CD8-0067-463D-AA47-7581C029D7D4}" srcOrd="1" destOrd="0" presId="urn:microsoft.com/office/officeart/2005/8/layout/list1"/>
    <dgm:cxn modelId="{855C1ABF-EE0E-4368-AAF2-7D3585E239A5}" type="presParOf" srcId="{7323760A-CAC8-432D-A020-F77BFA77D735}" destId="{8C78493C-3C9C-4FDF-89DE-DDAC27488222}" srcOrd="1" destOrd="0" presId="urn:microsoft.com/office/officeart/2005/8/layout/list1"/>
    <dgm:cxn modelId="{680373E2-88CE-4642-9587-481CCEFD2578}" type="presParOf" srcId="{7323760A-CAC8-432D-A020-F77BFA77D735}" destId="{1111B519-2F2F-4512-95FE-D2216303CCBE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F27429C-5B6E-468F-AF42-BE9281FF2A23}" type="doc">
      <dgm:prSet loTypeId="urn:microsoft.com/office/officeart/2005/8/layout/list1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8DFCB13-F778-41C4-88A6-8A8793BBCF6B}">
      <dgm:prSet phldrT="[Texto]" custT="1"/>
      <dgm:spPr/>
      <dgm:t>
        <a:bodyPr/>
        <a:lstStyle/>
        <a:p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gm:t>
    </dgm:pt>
    <dgm:pt modelId="{55E528F8-5473-447A-B4D6-39039A5FF545}" type="par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C21111-088F-4CAC-A53E-A2F91EF73064}" type="sib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C29C0B-230A-4A2F-B7AB-59E88CC6B709}">
      <dgm:prSet phldrT="[Texto]" custT="1"/>
      <dgm:spPr/>
      <dgm:t>
        <a:bodyPr/>
        <a:lstStyle/>
        <a:p>
          <a:pPr algn="just"/>
          <a:r>
            <a:rPr lang="en-US" sz="1000" b="0">
              <a:latin typeface="Times New Roman" panose="02020603050405020304" pitchFamily="18" charset="0"/>
              <a:cs typeface="Times New Roman" panose="02020603050405020304" pitchFamily="18" charset="0"/>
            </a:rPr>
            <a:t>Una transacción es un flujo económico que consiste en una interacción entre unidades institucionales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por mutuo acuerdo o mediante la aplicación de la ley.... (MEFP 2014)</a:t>
          </a:r>
          <a:r>
            <a:rPr lang="en-US" sz="1000" b="0">
              <a:latin typeface="Times New Roman" panose="02020603050405020304" pitchFamily="18" charset="0"/>
              <a:cs typeface="Times New Roman" panose="02020603050405020304" pitchFamily="18" charset="0"/>
            </a:rPr>
            <a:t>.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Las transacciones en activos y pasivos no generan cambios en el patrimonio neto.</a:t>
          </a:r>
        </a:p>
      </dgm:t>
    </dgm:pt>
    <dgm:pt modelId="{BD00C7DA-D115-4DC8-96E9-9A8238F85148}" type="par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EB422C-F1D3-4985-A61D-252683A994E5}" type="sib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323760A-CAC8-432D-A020-F77BFA77D735}" type="pres">
      <dgm:prSet presAssocID="{FF27429C-5B6E-468F-AF42-BE9281FF2A23}" presName="linear" presStyleCnt="0">
        <dgm:presLayoutVars>
          <dgm:dir/>
          <dgm:animLvl val="lvl"/>
          <dgm:resizeHandles val="exact"/>
        </dgm:presLayoutVars>
      </dgm:prSet>
      <dgm:spPr/>
    </dgm:pt>
    <dgm:pt modelId="{6E63B848-FDAE-4891-8566-8BE88B653316}" type="pres">
      <dgm:prSet presAssocID="{68DFCB13-F778-41C4-88A6-8A8793BBCF6B}" presName="parentLin" presStyleCnt="0"/>
      <dgm:spPr/>
    </dgm:pt>
    <dgm:pt modelId="{374EA5B0-C6AD-46BF-9645-7F0ED252FE66}" type="pres">
      <dgm:prSet presAssocID="{68DFCB13-F778-41C4-88A6-8A8793BBCF6B}" presName="parentLeftMargin" presStyleLbl="node1" presStyleIdx="0" presStyleCnt="1"/>
      <dgm:spPr/>
    </dgm:pt>
    <dgm:pt modelId="{377E1CD8-0067-463D-AA47-7581C029D7D4}" type="pres">
      <dgm:prSet presAssocID="{68DFCB13-F778-41C4-88A6-8A8793BBCF6B}" presName="parentText" presStyleLbl="node1" presStyleIdx="0" presStyleCnt="1" custScaleX="33793">
        <dgm:presLayoutVars>
          <dgm:chMax val="0"/>
          <dgm:bulletEnabled val="1"/>
        </dgm:presLayoutVars>
      </dgm:prSet>
      <dgm:spPr/>
    </dgm:pt>
    <dgm:pt modelId="{8C78493C-3C9C-4FDF-89DE-DDAC27488222}" type="pres">
      <dgm:prSet presAssocID="{68DFCB13-F778-41C4-88A6-8A8793BBCF6B}" presName="negativeSpace" presStyleCnt="0"/>
      <dgm:spPr/>
    </dgm:pt>
    <dgm:pt modelId="{1111B519-2F2F-4512-95FE-D2216303CCBE}" type="pres">
      <dgm:prSet presAssocID="{68DFCB13-F778-41C4-88A6-8A8793BBCF6B}" presName="childText" presStyleLbl="conFgAcc1" presStyleIdx="0" presStyleCnt="1">
        <dgm:presLayoutVars>
          <dgm:bulletEnabled val="1"/>
        </dgm:presLayoutVars>
      </dgm:prSet>
      <dgm:spPr/>
    </dgm:pt>
  </dgm:ptLst>
  <dgm:cxnLst>
    <dgm:cxn modelId="{2B97E307-DDDC-45DC-9CA7-632648FED3B9}" type="presOf" srcId="{01C29C0B-230A-4A2F-B7AB-59E88CC6B709}" destId="{1111B519-2F2F-4512-95FE-D2216303CCBE}" srcOrd="0" destOrd="0" presId="urn:microsoft.com/office/officeart/2005/8/layout/list1"/>
    <dgm:cxn modelId="{E9E7F310-CA62-40CB-950B-C2B09700E887}" type="presOf" srcId="{FF27429C-5B6E-468F-AF42-BE9281FF2A23}" destId="{7323760A-CAC8-432D-A020-F77BFA77D735}" srcOrd="0" destOrd="0" presId="urn:microsoft.com/office/officeart/2005/8/layout/list1"/>
    <dgm:cxn modelId="{9E117C35-F0A3-4260-AE5F-3261DFB7C6EE}" srcId="{FF27429C-5B6E-468F-AF42-BE9281FF2A23}" destId="{68DFCB13-F778-41C4-88A6-8A8793BBCF6B}" srcOrd="0" destOrd="0" parTransId="{55E528F8-5473-447A-B4D6-39039A5FF545}" sibTransId="{18C21111-088F-4CAC-A53E-A2F91EF73064}"/>
    <dgm:cxn modelId="{CF9E1A65-553C-4315-9B4D-6922C5CF2185}" type="presOf" srcId="{68DFCB13-F778-41C4-88A6-8A8793BBCF6B}" destId="{377E1CD8-0067-463D-AA47-7581C029D7D4}" srcOrd="1" destOrd="0" presId="urn:microsoft.com/office/officeart/2005/8/layout/list1"/>
    <dgm:cxn modelId="{047B5950-955A-4E9C-890F-03A957F573F6}" srcId="{68DFCB13-F778-41C4-88A6-8A8793BBCF6B}" destId="{01C29C0B-230A-4A2F-B7AB-59E88CC6B709}" srcOrd="0" destOrd="0" parTransId="{BD00C7DA-D115-4DC8-96E9-9A8238F85148}" sibTransId="{65EB422C-F1D3-4985-A61D-252683A994E5}"/>
    <dgm:cxn modelId="{3FDC437B-7FEB-4570-9F57-FAA88171B111}" type="presOf" srcId="{68DFCB13-F778-41C4-88A6-8A8793BBCF6B}" destId="{374EA5B0-C6AD-46BF-9645-7F0ED252FE66}" srcOrd="0" destOrd="0" presId="urn:microsoft.com/office/officeart/2005/8/layout/list1"/>
    <dgm:cxn modelId="{4BC55A49-751C-408F-B176-B7C4C361EF7E}" type="presParOf" srcId="{7323760A-CAC8-432D-A020-F77BFA77D735}" destId="{6E63B848-FDAE-4891-8566-8BE88B653316}" srcOrd="0" destOrd="0" presId="urn:microsoft.com/office/officeart/2005/8/layout/list1"/>
    <dgm:cxn modelId="{168861B8-2B13-4D21-A0A3-3DF5AA125F21}" type="presParOf" srcId="{6E63B848-FDAE-4891-8566-8BE88B653316}" destId="{374EA5B0-C6AD-46BF-9645-7F0ED252FE66}" srcOrd="0" destOrd="0" presId="urn:microsoft.com/office/officeart/2005/8/layout/list1"/>
    <dgm:cxn modelId="{FD713377-EE71-47D7-9EBD-4A34BD75CF63}" type="presParOf" srcId="{6E63B848-FDAE-4891-8566-8BE88B653316}" destId="{377E1CD8-0067-463D-AA47-7581C029D7D4}" srcOrd="1" destOrd="0" presId="urn:microsoft.com/office/officeart/2005/8/layout/list1"/>
    <dgm:cxn modelId="{855C1ABF-EE0E-4368-AAF2-7D3585E239A5}" type="presParOf" srcId="{7323760A-CAC8-432D-A020-F77BFA77D735}" destId="{8C78493C-3C9C-4FDF-89DE-DDAC27488222}" srcOrd="1" destOrd="0" presId="urn:microsoft.com/office/officeart/2005/8/layout/list1"/>
    <dgm:cxn modelId="{680373E2-88CE-4642-9587-481CCEFD2578}" type="presParOf" srcId="{7323760A-CAC8-432D-A020-F77BFA77D735}" destId="{1111B519-2F2F-4512-95FE-D2216303CCBE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F27429C-5B6E-468F-AF42-BE9281FF2A23}" type="doc">
      <dgm:prSet loTypeId="urn:microsoft.com/office/officeart/2005/8/layout/list1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8DFCB13-F778-41C4-88A6-8A8793BBCF6B}">
      <dgm:prSet phldrT="[Texto]" custT="1"/>
      <dgm:spPr/>
      <dgm:t>
        <a:bodyPr/>
        <a:lstStyle/>
        <a:p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gm:t>
    </dgm:pt>
    <dgm:pt modelId="{55E528F8-5473-447A-B4D6-39039A5FF545}" type="par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C21111-088F-4CAC-A53E-A2F91EF73064}" type="sib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C29C0B-230A-4A2F-B7AB-59E88CC6B709}">
      <dgm:prSet phldrT="[Texto]" custT="1"/>
      <dgm:spPr/>
      <dgm:t>
        <a:bodyPr/>
        <a:lstStyle/>
        <a:p>
          <a:pPr algn="just"/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Las "Erogaciones" poseen cierta similitud conceptual a lo que en la metodología nacional se entiende por gasto, sin embargo, poseen algunas diferencias leves.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En </a:t>
          </a:r>
          <a:r>
            <a:rPr lang="en-US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los </a:t>
          </a:r>
          <a:r>
            <a:rPr lang="en-US" sz="1000" b="1" strike="noStrike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estándares</a:t>
          </a:r>
          <a:r>
            <a:rPr lang="en-US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internacionales, una erogación es la suma de los gastos y la inversión neta en activos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no financieros (MEFP 2014) </a:t>
          </a:r>
        </a:p>
      </dgm:t>
    </dgm:pt>
    <dgm:pt modelId="{BD00C7DA-D115-4DC8-96E9-9A8238F85148}" type="par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EB422C-F1D3-4985-A61D-252683A994E5}" type="sib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323760A-CAC8-432D-A020-F77BFA77D735}" type="pres">
      <dgm:prSet presAssocID="{FF27429C-5B6E-468F-AF42-BE9281FF2A23}" presName="linear" presStyleCnt="0">
        <dgm:presLayoutVars>
          <dgm:dir/>
          <dgm:animLvl val="lvl"/>
          <dgm:resizeHandles val="exact"/>
        </dgm:presLayoutVars>
      </dgm:prSet>
      <dgm:spPr/>
    </dgm:pt>
    <dgm:pt modelId="{6E63B848-FDAE-4891-8566-8BE88B653316}" type="pres">
      <dgm:prSet presAssocID="{68DFCB13-F778-41C4-88A6-8A8793BBCF6B}" presName="parentLin" presStyleCnt="0"/>
      <dgm:spPr/>
    </dgm:pt>
    <dgm:pt modelId="{374EA5B0-C6AD-46BF-9645-7F0ED252FE66}" type="pres">
      <dgm:prSet presAssocID="{68DFCB13-F778-41C4-88A6-8A8793BBCF6B}" presName="parentLeftMargin" presStyleLbl="node1" presStyleIdx="0" presStyleCnt="1"/>
      <dgm:spPr/>
    </dgm:pt>
    <dgm:pt modelId="{377E1CD8-0067-463D-AA47-7581C029D7D4}" type="pres">
      <dgm:prSet presAssocID="{68DFCB13-F778-41C4-88A6-8A8793BBCF6B}" presName="parentText" presStyleLbl="node1" presStyleIdx="0" presStyleCnt="1" custScaleX="33793">
        <dgm:presLayoutVars>
          <dgm:chMax val="0"/>
          <dgm:bulletEnabled val="1"/>
        </dgm:presLayoutVars>
      </dgm:prSet>
      <dgm:spPr/>
    </dgm:pt>
    <dgm:pt modelId="{8C78493C-3C9C-4FDF-89DE-DDAC27488222}" type="pres">
      <dgm:prSet presAssocID="{68DFCB13-F778-41C4-88A6-8A8793BBCF6B}" presName="negativeSpace" presStyleCnt="0"/>
      <dgm:spPr/>
    </dgm:pt>
    <dgm:pt modelId="{1111B519-2F2F-4512-95FE-D2216303CCBE}" type="pres">
      <dgm:prSet presAssocID="{68DFCB13-F778-41C4-88A6-8A8793BBCF6B}" presName="childText" presStyleLbl="conFgAcc1" presStyleIdx="0" presStyleCnt="1">
        <dgm:presLayoutVars>
          <dgm:bulletEnabled val="1"/>
        </dgm:presLayoutVars>
      </dgm:prSet>
      <dgm:spPr/>
    </dgm:pt>
  </dgm:ptLst>
  <dgm:cxnLst>
    <dgm:cxn modelId="{2B97E307-DDDC-45DC-9CA7-632648FED3B9}" type="presOf" srcId="{01C29C0B-230A-4A2F-B7AB-59E88CC6B709}" destId="{1111B519-2F2F-4512-95FE-D2216303CCBE}" srcOrd="0" destOrd="0" presId="urn:microsoft.com/office/officeart/2005/8/layout/list1"/>
    <dgm:cxn modelId="{E9E7F310-CA62-40CB-950B-C2B09700E887}" type="presOf" srcId="{FF27429C-5B6E-468F-AF42-BE9281FF2A23}" destId="{7323760A-CAC8-432D-A020-F77BFA77D735}" srcOrd="0" destOrd="0" presId="urn:microsoft.com/office/officeart/2005/8/layout/list1"/>
    <dgm:cxn modelId="{9E117C35-F0A3-4260-AE5F-3261DFB7C6EE}" srcId="{FF27429C-5B6E-468F-AF42-BE9281FF2A23}" destId="{68DFCB13-F778-41C4-88A6-8A8793BBCF6B}" srcOrd="0" destOrd="0" parTransId="{55E528F8-5473-447A-B4D6-39039A5FF545}" sibTransId="{18C21111-088F-4CAC-A53E-A2F91EF73064}"/>
    <dgm:cxn modelId="{CF9E1A65-553C-4315-9B4D-6922C5CF2185}" type="presOf" srcId="{68DFCB13-F778-41C4-88A6-8A8793BBCF6B}" destId="{377E1CD8-0067-463D-AA47-7581C029D7D4}" srcOrd="1" destOrd="0" presId="urn:microsoft.com/office/officeart/2005/8/layout/list1"/>
    <dgm:cxn modelId="{047B5950-955A-4E9C-890F-03A957F573F6}" srcId="{68DFCB13-F778-41C4-88A6-8A8793BBCF6B}" destId="{01C29C0B-230A-4A2F-B7AB-59E88CC6B709}" srcOrd="0" destOrd="0" parTransId="{BD00C7DA-D115-4DC8-96E9-9A8238F85148}" sibTransId="{65EB422C-F1D3-4985-A61D-252683A994E5}"/>
    <dgm:cxn modelId="{3FDC437B-7FEB-4570-9F57-FAA88171B111}" type="presOf" srcId="{68DFCB13-F778-41C4-88A6-8A8793BBCF6B}" destId="{374EA5B0-C6AD-46BF-9645-7F0ED252FE66}" srcOrd="0" destOrd="0" presId="urn:microsoft.com/office/officeart/2005/8/layout/list1"/>
    <dgm:cxn modelId="{4BC55A49-751C-408F-B176-B7C4C361EF7E}" type="presParOf" srcId="{7323760A-CAC8-432D-A020-F77BFA77D735}" destId="{6E63B848-FDAE-4891-8566-8BE88B653316}" srcOrd="0" destOrd="0" presId="urn:microsoft.com/office/officeart/2005/8/layout/list1"/>
    <dgm:cxn modelId="{168861B8-2B13-4D21-A0A3-3DF5AA125F21}" type="presParOf" srcId="{6E63B848-FDAE-4891-8566-8BE88B653316}" destId="{374EA5B0-C6AD-46BF-9645-7F0ED252FE66}" srcOrd="0" destOrd="0" presId="urn:microsoft.com/office/officeart/2005/8/layout/list1"/>
    <dgm:cxn modelId="{FD713377-EE71-47D7-9EBD-4A34BD75CF63}" type="presParOf" srcId="{6E63B848-FDAE-4891-8566-8BE88B653316}" destId="{377E1CD8-0067-463D-AA47-7581C029D7D4}" srcOrd="1" destOrd="0" presId="urn:microsoft.com/office/officeart/2005/8/layout/list1"/>
    <dgm:cxn modelId="{855C1ABF-EE0E-4368-AAF2-7D3585E239A5}" type="presParOf" srcId="{7323760A-CAC8-432D-A020-F77BFA77D735}" destId="{8C78493C-3C9C-4FDF-89DE-DDAC27488222}" srcOrd="1" destOrd="0" presId="urn:microsoft.com/office/officeart/2005/8/layout/list1"/>
    <dgm:cxn modelId="{680373E2-88CE-4642-9587-481CCEFD2578}" type="presParOf" srcId="{7323760A-CAC8-432D-A020-F77BFA77D735}" destId="{1111B519-2F2F-4512-95FE-D2216303CCBE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F27429C-5B6E-468F-AF42-BE9281FF2A23}" type="doc">
      <dgm:prSet loTypeId="urn:microsoft.com/office/officeart/2005/8/layout/list1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8DFCB13-F778-41C4-88A6-8A8793BBCF6B}">
      <dgm:prSet phldrT="[Texto]" custT="1"/>
      <dgm:spPr/>
      <dgm:t>
        <a:bodyPr/>
        <a:lstStyle/>
        <a:p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gm:t>
    </dgm:pt>
    <dgm:pt modelId="{55E528F8-5473-447A-B4D6-39039A5FF545}" type="par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C21111-088F-4CAC-A53E-A2F91EF73064}" type="sib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C29C0B-230A-4A2F-B7AB-59E88CC6B709}">
      <dgm:prSet phldrT="[Texto]" custT="1"/>
      <dgm:spPr/>
      <dgm:t>
        <a:bodyPr/>
        <a:lstStyle/>
        <a:p>
          <a:pPr algn="just"/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Existe una diferencia importante entre el concepto de  resultado fiscal con metodología nacional y los </a:t>
          </a:r>
          <a:r>
            <a:rPr lang="en-US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estándares internacionales, lo cual </a:t>
          </a:r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hace que estos no sean perfectamente comparables.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En los </a:t>
          </a:r>
          <a:r>
            <a:rPr lang="en-US" sz="1000" b="1" strike="noStrike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estándares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 internacionales existen los siguientes indicadores fiscales:</a:t>
          </a:r>
        </a:p>
      </dgm:t>
    </dgm:pt>
    <dgm:pt modelId="{BD00C7DA-D115-4DC8-96E9-9A8238F85148}" type="par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EB422C-F1D3-4985-A61D-252683A994E5}" type="sib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3D409E7-6B38-4B8B-8222-44C703F58D92}">
      <dgm:prSet phldrT="[Texto]" custT="1"/>
      <dgm:spPr/>
      <dgm:t>
        <a:bodyPr/>
        <a:lstStyle/>
        <a:p>
          <a:pPr algn="just"/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 1.) Resultado Operativo Neto (NOB) = </a:t>
          </a:r>
          <a:r>
            <a:rPr lang="en-US" sz="1000" b="0">
              <a:latin typeface="Times New Roman" panose="02020603050405020304" pitchFamily="18" charset="0"/>
              <a:cs typeface="Times New Roman" panose="02020603050405020304" pitchFamily="18" charset="0"/>
            </a:rPr>
            <a:t>Ingresos - Gastos</a:t>
          </a:r>
        </a:p>
      </dgm:t>
    </dgm:pt>
    <dgm:pt modelId="{35E9F9E2-37BD-42CA-AB3F-4201DA8C5649}" type="parTrans" cxnId="{D2A05A42-79FB-4963-8B17-BF9A6786808F}">
      <dgm:prSet/>
      <dgm:spPr/>
      <dgm:t>
        <a:bodyPr/>
        <a:lstStyle/>
        <a:p>
          <a:endParaRPr lang="en-US"/>
        </a:p>
      </dgm:t>
    </dgm:pt>
    <dgm:pt modelId="{AC2A3F50-B651-4C05-9C8B-A8F890A72D73}" type="sibTrans" cxnId="{D2A05A42-79FB-4963-8B17-BF9A6786808F}">
      <dgm:prSet/>
      <dgm:spPr/>
      <dgm:t>
        <a:bodyPr/>
        <a:lstStyle/>
        <a:p>
          <a:endParaRPr lang="en-US"/>
        </a:p>
      </dgm:t>
    </dgm:pt>
    <dgm:pt modelId="{3CF91B55-1F75-4C87-9C67-A20C9FA05662}">
      <dgm:prSet phldrT="[Texto]" custT="1"/>
      <dgm:spPr/>
      <dgm:t>
        <a:bodyPr/>
        <a:lstStyle/>
        <a:p>
          <a:pPr algn="just"/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 2.) Resultado Operativo Bruto (GOB) = </a:t>
          </a:r>
          <a:r>
            <a:rPr lang="en-US" sz="1000" b="0">
              <a:latin typeface="Times New Roman" panose="02020603050405020304" pitchFamily="18" charset="0"/>
              <a:cs typeface="Times New Roman" panose="02020603050405020304" pitchFamily="18" charset="0"/>
            </a:rPr>
            <a:t>Ingresos - Gastos + Consumo de capital fijo</a:t>
          </a:r>
        </a:p>
      </dgm:t>
    </dgm:pt>
    <dgm:pt modelId="{D8385961-8EAF-45B4-BEDD-9F02F740FFF8}" type="parTrans" cxnId="{3B646E4E-A757-43B0-9D09-BAE2E05E5ACA}">
      <dgm:prSet/>
      <dgm:spPr/>
      <dgm:t>
        <a:bodyPr/>
        <a:lstStyle/>
        <a:p>
          <a:endParaRPr lang="en-US"/>
        </a:p>
      </dgm:t>
    </dgm:pt>
    <dgm:pt modelId="{3B565E79-6F22-4474-B8A9-856B312682A2}" type="sibTrans" cxnId="{3B646E4E-A757-43B0-9D09-BAE2E05E5ACA}">
      <dgm:prSet/>
      <dgm:spPr/>
      <dgm:t>
        <a:bodyPr/>
        <a:lstStyle/>
        <a:p>
          <a:endParaRPr lang="en-US"/>
        </a:p>
      </dgm:t>
    </dgm:pt>
    <dgm:pt modelId="{DDD57492-28E1-4534-8544-AE4C4F54393E}">
      <dgm:prSet phldrT="[Texto]" custT="1"/>
      <dgm:spPr/>
      <dgm:t>
        <a:bodyPr/>
        <a:lstStyle/>
        <a:p>
          <a:pPr algn="just"/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 3.) P</a:t>
          </a:r>
          <a:r>
            <a:rPr lang="en-US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réstamo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o Endeudamiento Neto (NLB) = </a:t>
          </a:r>
          <a:r>
            <a:rPr lang="en-US" sz="1000" b="0">
              <a:latin typeface="Times New Roman" panose="02020603050405020304" pitchFamily="18" charset="0"/>
              <a:cs typeface="Times New Roman" panose="02020603050405020304" pitchFamily="18" charset="0"/>
            </a:rPr>
            <a:t>NOB - Inversión Neta en Activos no financieros</a:t>
          </a:r>
        </a:p>
      </dgm:t>
    </dgm:pt>
    <dgm:pt modelId="{F4E1C6EE-CD86-4051-8C91-50C764FC2B3C}" type="parTrans" cxnId="{804E552C-050E-4FE3-9A89-FA56FE6F04DB}">
      <dgm:prSet/>
      <dgm:spPr/>
      <dgm:t>
        <a:bodyPr/>
        <a:lstStyle/>
        <a:p>
          <a:endParaRPr lang="en-US"/>
        </a:p>
      </dgm:t>
    </dgm:pt>
    <dgm:pt modelId="{810108D9-3C67-4E9B-A016-62224098F996}" type="sibTrans" cxnId="{804E552C-050E-4FE3-9A89-FA56FE6F04DB}">
      <dgm:prSet/>
      <dgm:spPr/>
      <dgm:t>
        <a:bodyPr/>
        <a:lstStyle/>
        <a:p>
          <a:endParaRPr lang="en-US"/>
        </a:p>
      </dgm:t>
    </dgm:pt>
    <dgm:pt modelId="{B3BD5EE0-8B02-47DD-9A82-259B22A65496}">
      <dgm:prSet phldrT="[Texto]" custT="1"/>
      <dgm:spPr/>
      <dgm:t>
        <a:bodyPr/>
        <a:lstStyle/>
        <a:p>
          <a:pPr algn="l"/>
          <a:endParaRPr lang="en-US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714091-2FD7-45AB-996F-8D909E729D08}" type="parTrans" cxnId="{46B5D4E3-A1B8-446E-BF94-1D1B608BD025}">
      <dgm:prSet/>
      <dgm:spPr/>
      <dgm:t>
        <a:bodyPr/>
        <a:lstStyle/>
        <a:p>
          <a:endParaRPr lang="en-US"/>
        </a:p>
      </dgm:t>
    </dgm:pt>
    <dgm:pt modelId="{0927F4C2-33AC-47BA-87B1-9849DE2EA647}" type="sibTrans" cxnId="{46B5D4E3-A1B8-446E-BF94-1D1B608BD025}">
      <dgm:prSet/>
      <dgm:spPr/>
      <dgm:t>
        <a:bodyPr/>
        <a:lstStyle/>
        <a:p>
          <a:endParaRPr lang="en-US"/>
        </a:p>
      </dgm:t>
    </dgm:pt>
    <dgm:pt modelId="{8A074394-24C9-4417-B175-5B020C5132EE}">
      <dgm:prSet phldrT="[Texto]" custT="1"/>
      <dgm:spPr/>
      <dgm:t>
        <a:bodyPr/>
        <a:lstStyle/>
        <a:p>
          <a:pPr algn="l"/>
          <a:endParaRPr lang="en-US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E292B1-DDE6-4D66-AF9B-D8F09CB2C44B}" type="parTrans" cxnId="{DAA46AD6-6800-4619-A2CB-499FD1424CD7}">
      <dgm:prSet/>
      <dgm:spPr/>
      <dgm:t>
        <a:bodyPr/>
        <a:lstStyle/>
        <a:p>
          <a:endParaRPr lang="en-US"/>
        </a:p>
      </dgm:t>
    </dgm:pt>
    <dgm:pt modelId="{BB78CF32-946E-44D8-A2CB-37AAD43DE337}" type="sibTrans" cxnId="{DAA46AD6-6800-4619-A2CB-499FD1424CD7}">
      <dgm:prSet/>
      <dgm:spPr/>
      <dgm:t>
        <a:bodyPr/>
        <a:lstStyle/>
        <a:p>
          <a:endParaRPr lang="en-US"/>
        </a:p>
      </dgm:t>
    </dgm:pt>
    <dgm:pt modelId="{6F8CBEB5-BD00-46A8-8598-53DD15BC0D05}">
      <dgm:prSet phldrT="[Texto]" custT="1"/>
      <dgm:spPr/>
      <dgm:t>
        <a:bodyPr/>
        <a:lstStyle/>
        <a:p>
          <a:pPr algn="just"/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El NOB equivale a las variaciones en el patrimonio neto derivado a transacciones mientras que el NLB también equivale al financiamiento total (MEFP 2014)</a:t>
          </a:r>
        </a:p>
      </dgm:t>
    </dgm:pt>
    <dgm:pt modelId="{A6EB8F4D-3D4D-468C-8830-DEA557649AF4}" type="parTrans" cxnId="{62A354C5-3414-40BA-AD2A-45FD81C86CE9}">
      <dgm:prSet/>
      <dgm:spPr/>
      <dgm:t>
        <a:bodyPr/>
        <a:lstStyle/>
        <a:p>
          <a:endParaRPr lang="en-US"/>
        </a:p>
      </dgm:t>
    </dgm:pt>
    <dgm:pt modelId="{0628C494-8642-43D7-B0AB-7759DCBF2D72}" type="sibTrans" cxnId="{62A354C5-3414-40BA-AD2A-45FD81C86CE9}">
      <dgm:prSet/>
      <dgm:spPr/>
      <dgm:t>
        <a:bodyPr/>
        <a:lstStyle/>
        <a:p>
          <a:endParaRPr lang="en-US"/>
        </a:p>
      </dgm:t>
    </dgm:pt>
    <dgm:pt modelId="{F66DA131-6178-426C-B996-591DEB09B7CB}">
      <dgm:prSet phldrT="[Texto]" custT="1"/>
      <dgm:spPr/>
      <dgm:t>
        <a:bodyPr/>
        <a:lstStyle/>
        <a:p>
          <a:pPr algn="just"/>
          <a:endParaRPr lang="en-US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F9C5CB-6317-4711-B2DE-3942A095800E}" type="parTrans" cxnId="{85A2A9D1-776F-461B-B5DF-FAD4A3C4D680}">
      <dgm:prSet/>
      <dgm:spPr/>
      <dgm:t>
        <a:bodyPr/>
        <a:lstStyle/>
        <a:p>
          <a:endParaRPr lang="en-US"/>
        </a:p>
      </dgm:t>
    </dgm:pt>
    <dgm:pt modelId="{FC3858C3-5945-430C-BB96-A050D5CEC46F}" type="sibTrans" cxnId="{85A2A9D1-776F-461B-B5DF-FAD4A3C4D680}">
      <dgm:prSet/>
      <dgm:spPr/>
      <dgm:t>
        <a:bodyPr/>
        <a:lstStyle/>
        <a:p>
          <a:endParaRPr lang="en-US"/>
        </a:p>
      </dgm:t>
    </dgm:pt>
    <dgm:pt modelId="{453A4B04-F76E-490B-8F74-F2CEC3B8BB19}">
      <dgm:prSet phldrT="[Texto]" custT="1"/>
      <dgm:spPr/>
      <dgm:t>
        <a:bodyPr/>
        <a:lstStyle/>
        <a:p>
          <a:pPr algn="just"/>
          <a:endParaRPr lang="en-US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616642-9216-43BC-85CB-23782D39B7D5}" type="parTrans" cxnId="{E97BC17C-ACE4-4BB7-BC2E-2E60E6AEC07C}">
      <dgm:prSet/>
      <dgm:spPr/>
      <dgm:t>
        <a:bodyPr/>
        <a:lstStyle/>
        <a:p>
          <a:endParaRPr lang="es-GT"/>
        </a:p>
      </dgm:t>
    </dgm:pt>
    <dgm:pt modelId="{0C3A3D81-03D4-41F0-9DDD-F21090510B7A}" type="sibTrans" cxnId="{E97BC17C-ACE4-4BB7-BC2E-2E60E6AEC07C}">
      <dgm:prSet/>
      <dgm:spPr/>
      <dgm:t>
        <a:bodyPr/>
        <a:lstStyle/>
        <a:p>
          <a:endParaRPr lang="es-GT"/>
        </a:p>
      </dgm:t>
    </dgm:pt>
    <dgm:pt modelId="{7323760A-CAC8-432D-A020-F77BFA77D735}" type="pres">
      <dgm:prSet presAssocID="{FF27429C-5B6E-468F-AF42-BE9281FF2A23}" presName="linear" presStyleCnt="0">
        <dgm:presLayoutVars>
          <dgm:dir/>
          <dgm:animLvl val="lvl"/>
          <dgm:resizeHandles val="exact"/>
        </dgm:presLayoutVars>
      </dgm:prSet>
      <dgm:spPr/>
    </dgm:pt>
    <dgm:pt modelId="{6E63B848-FDAE-4891-8566-8BE88B653316}" type="pres">
      <dgm:prSet presAssocID="{68DFCB13-F778-41C4-88A6-8A8793BBCF6B}" presName="parentLin" presStyleCnt="0"/>
      <dgm:spPr/>
    </dgm:pt>
    <dgm:pt modelId="{374EA5B0-C6AD-46BF-9645-7F0ED252FE66}" type="pres">
      <dgm:prSet presAssocID="{68DFCB13-F778-41C4-88A6-8A8793BBCF6B}" presName="parentLeftMargin" presStyleLbl="node1" presStyleIdx="0" presStyleCnt="1"/>
      <dgm:spPr/>
    </dgm:pt>
    <dgm:pt modelId="{377E1CD8-0067-463D-AA47-7581C029D7D4}" type="pres">
      <dgm:prSet presAssocID="{68DFCB13-F778-41C4-88A6-8A8793BBCF6B}" presName="parentText" presStyleLbl="node1" presStyleIdx="0" presStyleCnt="1" custScaleX="33793">
        <dgm:presLayoutVars>
          <dgm:chMax val="0"/>
          <dgm:bulletEnabled val="1"/>
        </dgm:presLayoutVars>
      </dgm:prSet>
      <dgm:spPr/>
    </dgm:pt>
    <dgm:pt modelId="{8C78493C-3C9C-4FDF-89DE-DDAC27488222}" type="pres">
      <dgm:prSet presAssocID="{68DFCB13-F778-41C4-88A6-8A8793BBCF6B}" presName="negativeSpace" presStyleCnt="0"/>
      <dgm:spPr/>
    </dgm:pt>
    <dgm:pt modelId="{1111B519-2F2F-4512-95FE-D2216303CCBE}" type="pres">
      <dgm:prSet presAssocID="{68DFCB13-F778-41C4-88A6-8A8793BBCF6B}" presName="childText" presStyleLbl="conFgAcc1" presStyleIdx="0" presStyleCnt="1" custScaleY="99330" custLinFactNeighborX="-1523" custLinFactNeighborY="1916">
        <dgm:presLayoutVars>
          <dgm:bulletEnabled val="1"/>
        </dgm:presLayoutVars>
      </dgm:prSet>
      <dgm:spPr/>
    </dgm:pt>
  </dgm:ptLst>
  <dgm:cxnLst>
    <dgm:cxn modelId="{69387103-3411-4A6C-B040-8EBB6BCB6A88}" type="presOf" srcId="{3CF91B55-1F75-4C87-9C67-A20C9FA05662}" destId="{1111B519-2F2F-4512-95FE-D2216303CCBE}" srcOrd="0" destOrd="3" presId="urn:microsoft.com/office/officeart/2005/8/layout/list1"/>
    <dgm:cxn modelId="{2B97E307-DDDC-45DC-9CA7-632648FED3B9}" type="presOf" srcId="{01C29C0B-230A-4A2F-B7AB-59E88CC6B709}" destId="{1111B519-2F2F-4512-95FE-D2216303CCBE}" srcOrd="0" destOrd="0" presId="urn:microsoft.com/office/officeart/2005/8/layout/list1"/>
    <dgm:cxn modelId="{E9E7F310-CA62-40CB-950B-C2B09700E887}" type="presOf" srcId="{FF27429C-5B6E-468F-AF42-BE9281FF2A23}" destId="{7323760A-CAC8-432D-A020-F77BFA77D735}" srcOrd="0" destOrd="0" presId="urn:microsoft.com/office/officeart/2005/8/layout/list1"/>
    <dgm:cxn modelId="{2C707029-5A0E-402A-B59F-EF340F2A4F9E}" type="presOf" srcId="{B3BD5EE0-8B02-47DD-9A82-259B22A65496}" destId="{1111B519-2F2F-4512-95FE-D2216303CCBE}" srcOrd="0" destOrd="8" presId="urn:microsoft.com/office/officeart/2005/8/layout/list1"/>
    <dgm:cxn modelId="{804E552C-050E-4FE3-9A89-FA56FE6F04DB}" srcId="{68DFCB13-F778-41C4-88A6-8A8793BBCF6B}" destId="{DDD57492-28E1-4534-8544-AE4C4F54393E}" srcOrd="4" destOrd="0" parTransId="{F4E1C6EE-CD86-4051-8C91-50C764FC2B3C}" sibTransId="{810108D9-3C67-4E9B-A016-62224098F996}"/>
    <dgm:cxn modelId="{EEF66A34-B4C1-4174-83EC-4C87C0DB31E8}" type="presOf" srcId="{DDD57492-28E1-4534-8544-AE4C4F54393E}" destId="{1111B519-2F2F-4512-95FE-D2216303CCBE}" srcOrd="0" destOrd="4" presId="urn:microsoft.com/office/officeart/2005/8/layout/list1"/>
    <dgm:cxn modelId="{9E117C35-F0A3-4260-AE5F-3261DFB7C6EE}" srcId="{FF27429C-5B6E-468F-AF42-BE9281FF2A23}" destId="{68DFCB13-F778-41C4-88A6-8A8793BBCF6B}" srcOrd="0" destOrd="0" parTransId="{55E528F8-5473-447A-B4D6-39039A5FF545}" sibTransId="{18C21111-088F-4CAC-A53E-A2F91EF73064}"/>
    <dgm:cxn modelId="{D2A05A42-79FB-4963-8B17-BF9A6786808F}" srcId="{68DFCB13-F778-41C4-88A6-8A8793BBCF6B}" destId="{C3D409E7-6B38-4B8B-8222-44C703F58D92}" srcOrd="2" destOrd="0" parTransId="{35E9F9E2-37BD-42CA-AB3F-4201DA8C5649}" sibTransId="{AC2A3F50-B651-4C05-9C8B-A8F890A72D73}"/>
    <dgm:cxn modelId="{CF9E1A65-553C-4315-9B4D-6922C5CF2185}" type="presOf" srcId="{68DFCB13-F778-41C4-88A6-8A8793BBCF6B}" destId="{377E1CD8-0067-463D-AA47-7581C029D7D4}" srcOrd="1" destOrd="0" presId="urn:microsoft.com/office/officeart/2005/8/layout/list1"/>
    <dgm:cxn modelId="{3B646E4E-A757-43B0-9D09-BAE2E05E5ACA}" srcId="{68DFCB13-F778-41C4-88A6-8A8793BBCF6B}" destId="{3CF91B55-1F75-4C87-9C67-A20C9FA05662}" srcOrd="3" destOrd="0" parTransId="{D8385961-8EAF-45B4-BEDD-9F02F740FFF8}" sibTransId="{3B565E79-6F22-4474-B8A9-856B312682A2}"/>
    <dgm:cxn modelId="{047B5950-955A-4E9C-890F-03A957F573F6}" srcId="{68DFCB13-F778-41C4-88A6-8A8793BBCF6B}" destId="{01C29C0B-230A-4A2F-B7AB-59E88CC6B709}" srcOrd="0" destOrd="0" parTransId="{BD00C7DA-D115-4DC8-96E9-9A8238F85148}" sibTransId="{65EB422C-F1D3-4985-A61D-252683A994E5}"/>
    <dgm:cxn modelId="{85999478-29B4-46D0-A378-2630E510203B}" type="presOf" srcId="{6F8CBEB5-BD00-46A8-8598-53DD15BC0D05}" destId="{1111B519-2F2F-4512-95FE-D2216303CCBE}" srcOrd="0" destOrd="6" presId="urn:microsoft.com/office/officeart/2005/8/layout/list1"/>
    <dgm:cxn modelId="{3FDC437B-7FEB-4570-9F57-FAA88171B111}" type="presOf" srcId="{68DFCB13-F778-41C4-88A6-8A8793BBCF6B}" destId="{374EA5B0-C6AD-46BF-9645-7F0ED252FE66}" srcOrd="0" destOrd="0" presId="urn:microsoft.com/office/officeart/2005/8/layout/list1"/>
    <dgm:cxn modelId="{E97BC17C-ACE4-4BB7-BC2E-2E60E6AEC07C}" srcId="{68DFCB13-F778-41C4-88A6-8A8793BBCF6B}" destId="{453A4B04-F76E-490B-8F74-F2CEC3B8BB19}" srcOrd="7" destOrd="0" parTransId="{E8616642-9216-43BC-85CB-23782D39B7D5}" sibTransId="{0C3A3D81-03D4-41F0-9DDD-F21090510B7A}"/>
    <dgm:cxn modelId="{62A354C5-3414-40BA-AD2A-45FD81C86CE9}" srcId="{68DFCB13-F778-41C4-88A6-8A8793BBCF6B}" destId="{6F8CBEB5-BD00-46A8-8598-53DD15BC0D05}" srcOrd="6" destOrd="0" parTransId="{A6EB8F4D-3D4D-468C-8830-DEA557649AF4}" sibTransId="{0628C494-8642-43D7-B0AB-7759DCBF2D72}"/>
    <dgm:cxn modelId="{85A2A9D1-776F-461B-B5DF-FAD4A3C4D680}" srcId="{68DFCB13-F778-41C4-88A6-8A8793BBCF6B}" destId="{F66DA131-6178-426C-B996-591DEB09B7CB}" srcOrd="5" destOrd="0" parTransId="{CEF9C5CB-6317-4711-B2DE-3942A095800E}" sibTransId="{FC3858C3-5945-430C-BB96-A050D5CEC46F}"/>
    <dgm:cxn modelId="{DAA46AD6-6800-4619-A2CB-499FD1424CD7}" srcId="{68DFCB13-F778-41C4-88A6-8A8793BBCF6B}" destId="{8A074394-24C9-4417-B175-5B020C5132EE}" srcOrd="1" destOrd="0" parTransId="{DCE292B1-DDE6-4D66-AF9B-D8F09CB2C44B}" sibTransId="{BB78CF32-946E-44D8-A2CB-37AAD43DE337}"/>
    <dgm:cxn modelId="{B7CD85DB-3BC4-4CD4-9B17-43633D4795FD}" type="presOf" srcId="{C3D409E7-6B38-4B8B-8222-44C703F58D92}" destId="{1111B519-2F2F-4512-95FE-D2216303CCBE}" srcOrd="0" destOrd="2" presId="urn:microsoft.com/office/officeart/2005/8/layout/list1"/>
    <dgm:cxn modelId="{46B5D4E3-A1B8-446E-BF94-1D1B608BD025}" srcId="{68DFCB13-F778-41C4-88A6-8A8793BBCF6B}" destId="{B3BD5EE0-8B02-47DD-9A82-259B22A65496}" srcOrd="8" destOrd="0" parTransId="{C5714091-2FD7-45AB-996F-8D909E729D08}" sibTransId="{0927F4C2-33AC-47BA-87B1-9849DE2EA647}"/>
    <dgm:cxn modelId="{15195BEA-A48C-4BD1-BDAE-C543865F46DB}" type="presOf" srcId="{453A4B04-F76E-490B-8F74-F2CEC3B8BB19}" destId="{1111B519-2F2F-4512-95FE-D2216303CCBE}" srcOrd="0" destOrd="7" presId="urn:microsoft.com/office/officeart/2005/8/layout/list1"/>
    <dgm:cxn modelId="{CA8266EB-2064-4FDD-95F0-C82CE1121510}" type="presOf" srcId="{8A074394-24C9-4417-B175-5B020C5132EE}" destId="{1111B519-2F2F-4512-95FE-D2216303CCBE}" srcOrd="0" destOrd="1" presId="urn:microsoft.com/office/officeart/2005/8/layout/list1"/>
    <dgm:cxn modelId="{5046DFFC-77C3-490C-81E3-6B38AFE3D365}" type="presOf" srcId="{F66DA131-6178-426C-B996-591DEB09B7CB}" destId="{1111B519-2F2F-4512-95FE-D2216303CCBE}" srcOrd="0" destOrd="5" presId="urn:microsoft.com/office/officeart/2005/8/layout/list1"/>
    <dgm:cxn modelId="{4BC55A49-751C-408F-B176-B7C4C361EF7E}" type="presParOf" srcId="{7323760A-CAC8-432D-A020-F77BFA77D735}" destId="{6E63B848-FDAE-4891-8566-8BE88B653316}" srcOrd="0" destOrd="0" presId="urn:microsoft.com/office/officeart/2005/8/layout/list1"/>
    <dgm:cxn modelId="{168861B8-2B13-4D21-A0A3-3DF5AA125F21}" type="presParOf" srcId="{6E63B848-FDAE-4891-8566-8BE88B653316}" destId="{374EA5B0-C6AD-46BF-9645-7F0ED252FE66}" srcOrd="0" destOrd="0" presId="urn:microsoft.com/office/officeart/2005/8/layout/list1"/>
    <dgm:cxn modelId="{FD713377-EE71-47D7-9EBD-4A34BD75CF63}" type="presParOf" srcId="{6E63B848-FDAE-4891-8566-8BE88B653316}" destId="{377E1CD8-0067-463D-AA47-7581C029D7D4}" srcOrd="1" destOrd="0" presId="urn:microsoft.com/office/officeart/2005/8/layout/list1"/>
    <dgm:cxn modelId="{855C1ABF-EE0E-4368-AAF2-7D3585E239A5}" type="presParOf" srcId="{7323760A-CAC8-432D-A020-F77BFA77D735}" destId="{8C78493C-3C9C-4FDF-89DE-DDAC27488222}" srcOrd="1" destOrd="0" presId="urn:microsoft.com/office/officeart/2005/8/layout/list1"/>
    <dgm:cxn modelId="{680373E2-88CE-4642-9587-481CCEFD2578}" type="presParOf" srcId="{7323760A-CAC8-432D-A020-F77BFA77D735}" destId="{1111B519-2F2F-4512-95FE-D2216303CCBE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11B519-2F2F-4512-95FE-D2216303CCBE}">
      <dsp:nvSpPr>
        <dsp:cNvPr id="0" name=""/>
        <dsp:cNvSpPr/>
      </dsp:nvSpPr>
      <dsp:spPr>
        <a:xfrm>
          <a:off x="0" y="164167"/>
          <a:ext cx="5836919" cy="71032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3010" tIns="229108" rIns="45301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Hay una diferencia importante entre la definición de "ingreso" en la metodología nacional y los es</a:t>
          </a:r>
          <a:r>
            <a:rPr lang="en-US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tán</a:t>
          </a: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dares internacionales.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En los </a:t>
          </a:r>
          <a:r>
            <a:rPr lang="en-US" sz="1000" b="1" strike="noStrike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estándares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internacionales, un ingreso es un aumento del patrimonio neto como resultado de una transacción (MEFP 2014) </a:t>
          </a:r>
        </a:p>
      </dsp:txBody>
      <dsp:txXfrm>
        <a:off x="0" y="164167"/>
        <a:ext cx="5836919" cy="710325"/>
      </dsp:txXfrm>
    </dsp:sp>
    <dsp:sp modelId="{377E1CD8-0067-463D-AA47-7581C029D7D4}">
      <dsp:nvSpPr>
        <dsp:cNvPr id="0" name=""/>
        <dsp:cNvSpPr/>
      </dsp:nvSpPr>
      <dsp:spPr>
        <a:xfrm>
          <a:off x="291560" y="1807"/>
          <a:ext cx="1379380" cy="32472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4435" tIns="0" rIns="154435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sp:txBody>
      <dsp:txXfrm>
        <a:off x="307412" y="17659"/>
        <a:ext cx="1347676" cy="29301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11B519-2F2F-4512-95FE-D2216303CCBE}">
      <dsp:nvSpPr>
        <dsp:cNvPr id="0" name=""/>
        <dsp:cNvSpPr/>
      </dsp:nvSpPr>
      <dsp:spPr>
        <a:xfrm>
          <a:off x="0" y="0"/>
          <a:ext cx="5836919" cy="8662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3010" tIns="104140" rIns="453010" bIns="71120" numCol="1" spcCol="1270" anchor="t" anchorCtr="0">
          <a:noAutofit/>
        </a:bodyPr>
        <a:lstStyle/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Los "Gastos" en los estándares internacionales presentan mayores diferencias respecto a la información presentada en metodología nacional y es importante entender que estos no son comparables entre si.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En los e</a:t>
          </a:r>
          <a:r>
            <a:rPr lang="en-US" sz="1000" b="1" strike="noStrike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stándares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internacionales, un gasto es una transacción que  disminuye del patrimonio neto del gobierno (MEFP 2014) </a:t>
          </a:r>
        </a:p>
      </dsp:txBody>
      <dsp:txXfrm>
        <a:off x="0" y="0"/>
        <a:ext cx="5836919" cy="866250"/>
      </dsp:txXfrm>
    </dsp:sp>
    <dsp:sp modelId="{377E1CD8-0067-463D-AA47-7581C029D7D4}">
      <dsp:nvSpPr>
        <dsp:cNvPr id="0" name=""/>
        <dsp:cNvSpPr/>
      </dsp:nvSpPr>
      <dsp:spPr>
        <a:xfrm>
          <a:off x="291560" y="4234"/>
          <a:ext cx="1379380" cy="14760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4435" tIns="0" rIns="154435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sp:txBody>
      <dsp:txXfrm>
        <a:off x="298765" y="11439"/>
        <a:ext cx="1364970" cy="13319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11B519-2F2F-4512-95FE-D2216303CCBE}">
      <dsp:nvSpPr>
        <dsp:cNvPr id="0" name=""/>
        <dsp:cNvSpPr/>
      </dsp:nvSpPr>
      <dsp:spPr>
        <a:xfrm>
          <a:off x="0" y="164167"/>
          <a:ext cx="5836919" cy="71032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3010" tIns="229108" rIns="453010" bIns="71120" numCol="1" spcCol="1270" anchor="t" anchorCtr="0">
          <a:noAutofit/>
        </a:bodyPr>
        <a:lstStyle/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Una transacción es un flujo económico que consiste en una interacción entre unidades institucionales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por mutuo acuerdo o mediante la aplicación de la ley.... (MEFP 2014)</a:t>
          </a:r>
          <a:r>
            <a:rPr lang="en-US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.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Las transacciones en activos y pasivos no generan cambios en el patrimonio neto.</a:t>
          </a:r>
        </a:p>
      </dsp:txBody>
      <dsp:txXfrm>
        <a:off x="0" y="164167"/>
        <a:ext cx="5836919" cy="710325"/>
      </dsp:txXfrm>
    </dsp:sp>
    <dsp:sp modelId="{377E1CD8-0067-463D-AA47-7581C029D7D4}">
      <dsp:nvSpPr>
        <dsp:cNvPr id="0" name=""/>
        <dsp:cNvSpPr/>
      </dsp:nvSpPr>
      <dsp:spPr>
        <a:xfrm>
          <a:off x="291560" y="1807"/>
          <a:ext cx="1379380" cy="32472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4435" tIns="0" rIns="154435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sp:txBody>
      <dsp:txXfrm>
        <a:off x="307412" y="17659"/>
        <a:ext cx="1347676" cy="29301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11B519-2F2F-4512-95FE-D2216303CCBE}">
      <dsp:nvSpPr>
        <dsp:cNvPr id="0" name=""/>
        <dsp:cNvSpPr/>
      </dsp:nvSpPr>
      <dsp:spPr>
        <a:xfrm>
          <a:off x="0" y="114959"/>
          <a:ext cx="5836919" cy="7497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3010" tIns="145796" rIns="453010" bIns="71120" numCol="1" spcCol="1270" anchor="t" anchorCtr="0">
          <a:noAutofit/>
        </a:bodyPr>
        <a:lstStyle/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Las "Erogaciones" poseen cierta similitud conceptual a lo que en la metodología nacional se entiende por gasto, sin embargo, poseen algunas diferencias leves.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En </a:t>
          </a:r>
          <a:r>
            <a:rPr lang="en-US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los </a:t>
          </a:r>
          <a:r>
            <a:rPr lang="en-US" sz="1000" b="1" strike="noStrike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estándares</a:t>
          </a:r>
          <a:r>
            <a:rPr lang="en-US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internacionales, una erogación es la suma de los gastos y la inversión neta en activos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no financieros (MEFP 2014) </a:t>
          </a:r>
        </a:p>
      </dsp:txBody>
      <dsp:txXfrm>
        <a:off x="0" y="114959"/>
        <a:ext cx="5836919" cy="749700"/>
      </dsp:txXfrm>
    </dsp:sp>
    <dsp:sp modelId="{377E1CD8-0067-463D-AA47-7581C029D7D4}">
      <dsp:nvSpPr>
        <dsp:cNvPr id="0" name=""/>
        <dsp:cNvSpPr/>
      </dsp:nvSpPr>
      <dsp:spPr>
        <a:xfrm>
          <a:off x="291560" y="11639"/>
          <a:ext cx="1379380" cy="20664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4435" tIns="0" rIns="154435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sp:txBody>
      <dsp:txXfrm>
        <a:off x="301647" y="21726"/>
        <a:ext cx="1359206" cy="186466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11B519-2F2F-4512-95FE-D2216303CCBE}">
      <dsp:nvSpPr>
        <dsp:cNvPr id="0" name=""/>
        <dsp:cNvSpPr/>
      </dsp:nvSpPr>
      <dsp:spPr>
        <a:xfrm>
          <a:off x="0" y="73866"/>
          <a:ext cx="5836919" cy="178003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3010" tIns="163958" rIns="453010" bIns="71120" numCol="1" spcCol="1270" anchor="t" anchorCtr="0">
          <a:noAutofit/>
        </a:bodyPr>
        <a:lstStyle/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Existe una diferencia importante entre el concepto de  resultado fiscal con metodología nacional y los </a:t>
          </a:r>
          <a:r>
            <a:rPr lang="en-US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estándares internacionales, lo cual </a:t>
          </a: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hace que estos no sean perfectamente comparables.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En los </a:t>
          </a:r>
          <a:r>
            <a:rPr lang="en-US" sz="1000" b="1" strike="noStrike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estándares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internacionales existen los siguientes indicadores fiscales: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1.) Resultado Operativo Neto (NOB) = </a:t>
          </a:r>
          <a:r>
            <a:rPr lang="en-US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Ingresos - Gastos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2.) Resultado Operativo Bruto (GOB) = </a:t>
          </a:r>
          <a:r>
            <a:rPr lang="en-US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Ingresos - Gastos + Consumo de capital fijo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3.) P</a:t>
          </a:r>
          <a:r>
            <a:rPr lang="en-US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réstamo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o Endeudamiento Neto (NLB) = </a:t>
          </a:r>
          <a:r>
            <a:rPr lang="en-US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NOB - Inversión Neta en Activos no financieros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0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El NOB equivale a las variaciones en el patrimonio neto derivado a transacciones mientras que el NLB también equivale al financiamiento total (MEFP 2014)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0" y="73866"/>
        <a:ext cx="5836919" cy="1780030"/>
      </dsp:txXfrm>
    </dsp:sp>
    <dsp:sp modelId="{377E1CD8-0067-463D-AA47-7581C029D7D4}">
      <dsp:nvSpPr>
        <dsp:cNvPr id="0" name=""/>
        <dsp:cNvSpPr/>
      </dsp:nvSpPr>
      <dsp:spPr>
        <a:xfrm>
          <a:off x="291560" y="1660"/>
          <a:ext cx="1379380" cy="14169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4435" tIns="0" rIns="154435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sp:txBody>
      <dsp:txXfrm>
        <a:off x="298477" y="8577"/>
        <a:ext cx="1365546" cy="1278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0.59</cdr:x>
      <cdr:y>0.84726</cdr:y>
    </cdr:from>
    <cdr:to>
      <cdr:x>1</cdr:x>
      <cdr:y>0.983</cdr:y>
    </cdr:to>
    <cdr:sp macro="" textlink="">
      <cdr:nvSpPr>
        <cdr:cNvPr id="2" name="Cuadro de texto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579899" y="1617794"/>
          <a:ext cx="1097896" cy="25918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*Cifras preliminares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Fuente: MINFIN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  <a:p xmlns:a="http://schemas.openxmlformats.org/drawingml/2006/main">
          <a:pPr algn="r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0.19655</cdr:x>
      <cdr:y>0.8965</cdr:y>
    </cdr:from>
    <cdr:to>
      <cdr:x>1</cdr:x>
      <cdr:y>1</cdr:y>
    </cdr:to>
    <cdr:sp macro="" textlink="">
      <cdr:nvSpPr>
        <cdr:cNvPr id="2" name="Cuadro de texto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68119" y="3700886"/>
          <a:ext cx="2322401" cy="42724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1/ Con base a la metodología nacional</a:t>
          </a:r>
        </a:p>
        <a:p xmlns:a="http://schemas.openxmlformats.org/drawingml/2006/main">
          <a:pPr algn="r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*Cifras preliminares</a:t>
          </a:r>
        </a:p>
        <a:p xmlns:a="http://schemas.openxmlformats.org/drawingml/2006/main">
          <a:pPr algn="r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Fuente: MINFIN</a:t>
          </a:r>
        </a:p>
        <a:p xmlns:a="http://schemas.openxmlformats.org/drawingml/2006/main">
          <a:pPr algn="r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  <a:p xmlns:a="http://schemas.openxmlformats.org/drawingml/2006/main">
          <a:pPr algn="r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0.81689</cdr:x>
      <cdr:y>0.28701</cdr:y>
    </cdr:from>
    <cdr:to>
      <cdr:x>0.81689</cdr:x>
      <cdr:y>0.88429</cdr:y>
    </cdr:to>
    <cdr:cxnSp macro="">
      <cdr:nvCxnSpPr>
        <cdr:cNvPr id="3" name="Conector recto 2"/>
        <cdr:cNvCxnSpPr/>
      </cdr:nvCxnSpPr>
      <cdr:spPr>
        <a:xfrm xmlns:a="http://schemas.openxmlformats.org/drawingml/2006/main">
          <a:off x="4878109" y="520510"/>
          <a:ext cx="0" cy="1083203"/>
        </a:xfrm>
        <a:prstGeom xmlns:a="http://schemas.openxmlformats.org/drawingml/2006/main" prst="line">
          <a:avLst/>
        </a:prstGeom>
        <a:effectLst xmlns:a="http://schemas.openxmlformats.org/drawingml/2006/main">
          <a:outerShdw blurRad="50800" dist="38100" dir="18900000" algn="bl" rotWithShape="0">
            <a:prstClr val="black">
              <a:alpha val="40000"/>
            </a:prstClr>
          </a:outerShdw>
        </a:effectLst>
      </cdr:spPr>
      <cdr:style>
        <a:lnRef xmlns:a="http://schemas.openxmlformats.org/drawingml/2006/main" idx="3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2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0.50776</cdr:x>
      <cdr:y>0.78951</cdr:y>
    </cdr:from>
    <cdr:to>
      <cdr:x>1</cdr:x>
      <cdr:y>0.78951</cdr:y>
    </cdr:to>
    <cdr:cxnSp macro="">
      <cdr:nvCxnSpPr>
        <cdr:cNvPr id="3" name="Conector recto 2"/>
        <cdr:cNvCxnSpPr/>
      </cdr:nvCxnSpPr>
      <cdr:spPr>
        <a:xfrm xmlns:a="http://schemas.openxmlformats.org/drawingml/2006/main">
          <a:off x="1478966" y="2881705"/>
          <a:ext cx="1433779" cy="0"/>
        </a:xfrm>
        <a:prstGeom xmlns:a="http://schemas.openxmlformats.org/drawingml/2006/main" prst="line">
          <a:avLst/>
        </a:prstGeom>
        <a:effectLst xmlns:a="http://schemas.openxmlformats.org/drawingml/2006/main">
          <a:outerShdw blurRad="50800" dist="38100" dir="18900000" algn="bl" rotWithShape="0">
            <a:prstClr val="black">
              <a:alpha val="40000"/>
            </a:prstClr>
          </a:outerShdw>
        </a:effectLst>
      </cdr:spPr>
      <cdr:style>
        <a:lnRef xmlns:a="http://schemas.openxmlformats.org/drawingml/2006/main" idx="3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2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0.66485</cdr:x>
      <cdr:y>0.88557</cdr:y>
    </cdr:from>
    <cdr:to>
      <cdr:x>1</cdr:x>
      <cdr:y>1</cdr:y>
    </cdr:to>
    <cdr:sp macro="" textlink="">
      <cdr:nvSpPr>
        <cdr:cNvPr id="4" name="Cuadro de texto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936539" y="3232298"/>
          <a:ext cx="976206" cy="41768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algn="r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*Cifras preliminares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Fuente: MINFIN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  <a:p xmlns:a="http://schemas.openxmlformats.org/drawingml/2006/main">
          <a:pPr algn="r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0.64156</cdr:x>
      <cdr:y>0.82855</cdr:y>
    </cdr:from>
    <cdr:to>
      <cdr:x>1</cdr:x>
      <cdr:y>1</cdr:y>
    </cdr:to>
    <cdr:sp macro="" textlink="">
      <cdr:nvSpPr>
        <cdr:cNvPr id="2" name="Cuadro de texto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825517" y="1533141"/>
          <a:ext cx="1019918" cy="31724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*Cifras preliminares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Fuente: MINFIN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  <a:p xmlns:a="http://schemas.openxmlformats.org/drawingml/2006/main">
          <a:pPr algn="r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0.12643</cdr:x>
      <cdr:y>0.23011</cdr:y>
    </cdr:from>
    <cdr:to>
      <cdr:x>0.12643</cdr:x>
      <cdr:y>0.56951</cdr:y>
    </cdr:to>
    <cdr:cxnSp macro="">
      <cdr:nvCxnSpPr>
        <cdr:cNvPr id="3" name="Conector recto 2"/>
        <cdr:cNvCxnSpPr/>
      </cdr:nvCxnSpPr>
      <cdr:spPr>
        <a:xfrm xmlns:a="http://schemas.openxmlformats.org/drawingml/2006/main">
          <a:off x="396277" y="690114"/>
          <a:ext cx="0" cy="1017916"/>
        </a:xfrm>
        <a:prstGeom xmlns:a="http://schemas.openxmlformats.org/drawingml/2006/main" prst="line">
          <a:avLst/>
        </a:prstGeom>
        <a:effectLst xmlns:a="http://schemas.openxmlformats.org/drawingml/2006/main">
          <a:outerShdw blurRad="50800" dist="38100" dir="18900000" algn="bl" rotWithShape="0">
            <a:prstClr val="black">
              <a:alpha val="40000"/>
            </a:prstClr>
          </a:outerShdw>
        </a:effectLst>
      </cdr:spPr>
      <cdr:style>
        <a:lnRef xmlns:a="http://schemas.openxmlformats.org/drawingml/2006/main" idx="3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2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0.65692</cdr:x>
      <cdr:y>0.89272</cdr:y>
    </cdr:from>
    <cdr:to>
      <cdr:x>1</cdr:x>
      <cdr:y>1</cdr:y>
    </cdr:to>
    <cdr:sp macro="" textlink="">
      <cdr:nvSpPr>
        <cdr:cNvPr id="4" name="Cuadro de texto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059026" y="2677363"/>
          <a:ext cx="1075334" cy="32174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*Cifras preliminares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Fuente: MINFIN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  <a:p xmlns:a="http://schemas.openxmlformats.org/drawingml/2006/main">
          <a:pPr algn="r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0.82197</cdr:x>
      <cdr:y>0.85583</cdr:y>
    </cdr:from>
    <cdr:to>
      <cdr:x>1</cdr:x>
      <cdr:y>1</cdr:y>
    </cdr:to>
    <cdr:sp macro="" textlink="">
      <cdr:nvSpPr>
        <cdr:cNvPr id="2" name="Cuadro de texto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709041" y="1673289"/>
          <a:ext cx="1019929" cy="28187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*Cifras preliminares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Fuente: MINFIN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  <a:p xmlns:a="http://schemas.openxmlformats.org/drawingml/2006/main">
          <a:pPr algn="l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0.899</cdr:x>
      <cdr:y>0.10034</cdr:y>
    </cdr:from>
    <cdr:to>
      <cdr:x>0.899</cdr:x>
      <cdr:y>0.59769</cdr:y>
    </cdr:to>
    <cdr:cxnSp macro="">
      <cdr:nvCxnSpPr>
        <cdr:cNvPr id="4" name="Conector recto 3"/>
        <cdr:cNvCxnSpPr/>
      </cdr:nvCxnSpPr>
      <cdr:spPr>
        <a:xfrm xmlns:a="http://schemas.openxmlformats.org/drawingml/2006/main">
          <a:off x="2558045" y="161779"/>
          <a:ext cx="0" cy="801858"/>
        </a:xfrm>
        <a:prstGeom xmlns:a="http://schemas.openxmlformats.org/drawingml/2006/main" prst="line">
          <a:avLst/>
        </a:prstGeom>
        <a:ln xmlns:a="http://schemas.openxmlformats.org/drawingml/2006/main" w="28575" cap="flat" cmpd="sng" algn="ctr">
          <a:solidFill>
            <a:schemeClr val="tx1"/>
          </a:solidFill>
          <a:prstDash val="dash"/>
          <a:round/>
          <a:headEnd type="none" w="med" len="med"/>
          <a:tailEnd type="none" w="med" len="med"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0.91752</cdr:x>
      <cdr:y>0.13908</cdr:y>
    </cdr:from>
    <cdr:to>
      <cdr:x>0.91752</cdr:x>
      <cdr:y>0.70151</cdr:y>
    </cdr:to>
    <cdr:cxnSp macro="">
      <cdr:nvCxnSpPr>
        <cdr:cNvPr id="3" name="Conector recto 2"/>
        <cdr:cNvCxnSpPr/>
      </cdr:nvCxnSpPr>
      <cdr:spPr>
        <a:xfrm xmlns:a="http://schemas.openxmlformats.org/drawingml/2006/main">
          <a:off x="3092575" y="323850"/>
          <a:ext cx="0" cy="1309648"/>
        </a:xfrm>
        <a:prstGeom xmlns:a="http://schemas.openxmlformats.org/drawingml/2006/main" prst="line">
          <a:avLst/>
        </a:prstGeom>
        <a:ln xmlns:a="http://schemas.openxmlformats.org/drawingml/2006/main" w="28575" cap="flat" cmpd="sng" algn="ctr">
          <a:solidFill>
            <a:schemeClr val="tx1"/>
          </a:solidFill>
          <a:prstDash val="dash"/>
          <a:round/>
          <a:headEnd type="none" w="med" len="med"/>
          <a:tailEnd type="none" w="med" len="med"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</cdr:x>
      <cdr:y>0.85052</cdr:y>
    </cdr:from>
    <cdr:to>
      <cdr:x>0.3026</cdr:x>
      <cdr:y>1</cdr:y>
    </cdr:to>
    <cdr:sp macro="" textlink="">
      <cdr:nvSpPr>
        <cdr:cNvPr id="4" name="Cuadro de texto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1570007"/>
          <a:ext cx="1019929" cy="27593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*Cifras preliminares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Fuente: MINFIN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  <a:p xmlns:a="http://schemas.openxmlformats.org/drawingml/2006/main">
          <a:pPr algn="l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0.00567</cdr:x>
      <cdr:y>0.8632</cdr:y>
    </cdr:from>
    <cdr:to>
      <cdr:x>0.19157</cdr:x>
      <cdr:y>1</cdr:y>
    </cdr:to>
    <cdr:sp macro="" textlink="">
      <cdr:nvSpPr>
        <cdr:cNvPr id="2" name="Cuadro de texto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2501" y="1786918"/>
          <a:ext cx="1064779" cy="28318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*Cifras preliminares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Fuente: MINFIN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  <a:p xmlns:a="http://schemas.openxmlformats.org/drawingml/2006/main">
          <a:pPr algn="l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</cdr:txBody>
    </cdr: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D40D9-0943-4D6C-AABA-8E79C7FAF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10</Pages>
  <Words>2289</Words>
  <Characters>12593</Characters>
  <Application>Microsoft Office Word</Application>
  <DocSecurity>0</DocSecurity>
  <Lines>104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Informe de las FinanzAs públicas</vt:lpstr>
      <vt:lpstr>Informe de las FinanzAs públicas</vt:lpstr>
    </vt:vector>
  </TitlesOfParts>
  <Company>Dirección de Análisis y Política Fiscal</Company>
  <LinksUpToDate>false</LinksUpToDate>
  <CharactersWithSpaces>14853</CharactersWithSpaces>
  <SharedDoc>false</SharedDoc>
  <HLinks>
    <vt:vector size="102" baseType="variant">
      <vt:variant>
        <vt:i4>1966137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_Toc71108078</vt:lpwstr>
      </vt:variant>
      <vt:variant>
        <vt:i4>1114169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_Toc71108077</vt:lpwstr>
      </vt:variant>
      <vt:variant>
        <vt:i4>1245241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_Toc71108075</vt:lpwstr>
      </vt:variant>
      <vt:variant>
        <vt:i4>1179705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_Toc71108074</vt:lpwstr>
      </vt:variant>
      <vt:variant>
        <vt:i4>1376313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_Toc71108073</vt:lpwstr>
      </vt:variant>
      <vt:variant>
        <vt:i4>1048632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_Toc71108066</vt:lpwstr>
      </vt:variant>
      <vt:variant>
        <vt:i4>1245240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_Toc71108065</vt:lpwstr>
      </vt:variant>
      <vt:variant>
        <vt:i4>1179704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_Toc71108064</vt:lpwstr>
      </vt:variant>
      <vt:variant>
        <vt:i4>1310776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_Toc71108062</vt:lpwstr>
      </vt:variant>
      <vt:variant>
        <vt:i4>1507384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_Toc71108061</vt:lpwstr>
      </vt:variant>
      <vt:variant>
        <vt:i4>2031675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_Toc71108059</vt:lpwstr>
      </vt:variant>
      <vt:variant>
        <vt:i4>1966139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_Toc71108058</vt:lpwstr>
      </vt:variant>
      <vt:variant>
        <vt:i4>1245243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_Toc71108055</vt:lpwstr>
      </vt:variant>
      <vt:variant>
        <vt:i4>1507387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_Toc71108051</vt:lpwstr>
      </vt:variant>
      <vt:variant>
        <vt:i4>1441851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_Toc71108050</vt:lpwstr>
      </vt:variant>
      <vt:variant>
        <vt:i4>2031674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_Toc71108049</vt:lpwstr>
      </vt:variant>
      <vt:variant>
        <vt:i4>1966138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_Toc71108048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las FinanzAs públicas</dc:title>
  <dc:subject>Tercer Trimestre</dc:subject>
  <dc:creator>DAPF</dc:creator>
  <cp:keywords/>
  <dc:description/>
  <cp:lastModifiedBy>Carlos Herrera</cp:lastModifiedBy>
  <cp:revision>41</cp:revision>
  <cp:lastPrinted>2021-10-29T19:20:00Z</cp:lastPrinted>
  <dcterms:created xsi:type="dcterms:W3CDTF">2021-10-28T22:02:00Z</dcterms:created>
  <dcterms:modified xsi:type="dcterms:W3CDTF">2021-10-29T19:20:00Z</dcterms:modified>
  <cp:category>Ministerio de Finanzas Públicas</cp:category>
</cp:coreProperties>
</file>